
<file path=[Content_Types].xml><?xml version="1.0" encoding="utf-8"?>
<Types xmlns="http://schemas.openxmlformats.org/package/2006/content-types">
  <Default Extension="xlsx" ContentType="application/vnd.openxmlformats-officedocument.spreadsheetml.sheet"/>
  <Default Extension="xml" ContentType="application/xml"/>
  <Default Extension="rels" ContentType="application/vnd.openxmlformats-package.relationships+xml"/>
  <Override PartName="/word/fontTable.xml" ContentType="application/vnd.openxmlformats-officedocument.wordprocessingml.fontTable+xml"/>
  <Override PartName="/word/charts/colors1.xml" ContentType="application/vnd.ms-office.chartcolorstyle+xml"/>
  <Override PartName="/word/theme/themeOverride2.xml" ContentType="application/vnd.openxmlformats-officedocument.themeOverride+xml"/>
  <Override PartName="/word/charts/style3.xml" ContentType="application/vnd.ms-office.chartstyle+xml"/>
  <Override PartName="/word/charts/style2.xml" ContentType="application/vnd.ms-office.chartstyle+xml"/>
  <Override PartName="/word/charts/colors4.xml" ContentType="application/vnd.ms-office.chartcolorstyle+xml"/>
  <Override PartName="/word/charts/style4.xml" ContentType="application/vnd.ms-office.chartstyle+xml"/>
  <Override PartName="/word/charts/chart5.xml" ContentType="application/vnd.openxmlformats-officedocument.drawingml.chart+xml"/>
  <Override PartName="/word/numbering.xml" ContentType="application/vnd.openxmlformats-officedocument.wordprocessingml.numbering+xml"/>
  <Override PartName="/customXml/itemProps1.xml" ContentType="application/vnd.openxmlformats-officedocument.customXmlProperties+xml"/>
  <Override PartName="/word/charts/chart4.xml" ContentType="application/vnd.openxmlformats-officedocument.drawingml.chart+xml"/>
  <Override PartName="/word/document.xml" ContentType="application/vnd.openxmlformats-officedocument.wordprocessingml.document.main+xml"/>
  <Override PartName="/docProps/app.xml" ContentType="application/vnd.openxmlformats-officedocument.extended-properties+xml"/>
  <Override PartName="/word/settings.xml" ContentType="application/vnd.openxmlformats-officedocument.wordprocessingml.settings+xml"/>
  <Override PartName="/word/charts/style5.xml" ContentType="application/vnd.ms-office.chartstyle+xml"/>
  <Override PartName="/word/charts/colors2.xml" ContentType="application/vnd.ms-office.chartcolorstyle+xml"/>
  <Override PartName="/word/header1.xml" ContentType="application/vnd.openxmlformats-officedocument.wordprocessingml.header+xml"/>
  <Override PartName="/word/charts/colors5.xml" ContentType="application/vnd.ms-office.chartcolorstyle+xml"/>
  <Override PartName="/word/styles.xml" ContentType="application/vnd.openxmlformats-officedocument.wordprocessingml.styles+xml"/>
  <Override PartName="/word/charts/chart1.xml" ContentType="application/vnd.openxmlformats-officedocument.drawingml.chart+xml"/>
  <Override PartName="/word/charts/colors3.xml" ContentType="application/vnd.ms-office.chartcolorstyle+xml"/>
  <Override PartName="/docProps/core.xml" ContentType="application/vnd.openxmlformats-package.core-properties+xml"/>
  <Override PartName="/word/charts/style1.xml" ContentType="application/vnd.ms-office.chartstyle+xml"/>
  <Override PartName="/docProps/custom.xml" ContentType="application/vnd.openxmlformats-officedocument.custom-properties+xml"/>
  <Override PartName="/word/charts/chart2.xml" ContentType="application/vnd.openxmlformats-officedocument.drawingml.chart+xml"/>
  <Override PartName="/word/charts/chart3.xml" ContentType="application/vnd.openxmlformats-officedocument.drawingml.chart+xml"/>
  <Override PartName="/word/theme/theme1.xml" ContentType="application/vnd.openxmlformats-officedocument.theme+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b/>
          <w:szCs w:val="24"/>
        </w:rPr>
      </w:pPr>
      <w:r>
        <w:rPr>
          <w:b/>
          <w:szCs w:val="24"/>
        </w:rPr>
        <w:t>Status Offenses</w:t>
      </w:r>
    </w:p>
    <w:p>
      <w:pPr>
        <w:pStyle w:val="style0"/>
        <w:spacing w:after="0" w:lineRule="auto" w:line="480"/>
        <w:jc w:val="left"/>
        <w:rPr>
          <w:szCs w:val="24"/>
        </w:rPr>
      </w:pPr>
      <w:r>
        <w:rPr>
          <w:szCs w:val="24"/>
        </w:rPr>
        <w:t xml:space="preserve">Status offenses have had a huge trend among juveniles over the last decades. In each year, </w:t>
      </w:r>
      <w:r>
        <w:rPr>
          <w:szCs w:val="24"/>
        </w:rPr>
        <w:t xml:space="preserve">an average of 20 percent of all juvenile arrests do involve status offenses. Studying about </w:t>
      </w:r>
      <w:r>
        <w:rPr>
          <w:szCs w:val="24"/>
        </w:rPr>
        <w:t>these offenses</w:t>
      </w:r>
      <w:r>
        <w:rPr>
          <w:szCs w:val="24"/>
        </w:rPr>
        <w:t xml:space="preserve"> is important as it provides information that </w:t>
      </w:r>
      <w:r>
        <w:rPr>
          <w:szCs w:val="24"/>
        </w:rPr>
        <w:t xml:space="preserve">seek to give children assistance to avoid committing crimes in future. Additionally, </w:t>
      </w:r>
      <w:r>
        <w:rPr>
          <w:szCs w:val="24"/>
        </w:rPr>
        <w:t>preservation of families is achieved as well as ensuring public safety.</w:t>
      </w:r>
    </w:p>
    <w:p>
      <w:pPr>
        <w:pStyle w:val="style0"/>
        <w:spacing w:after="0" w:lineRule="auto" w:line="480"/>
        <w:jc w:val="left"/>
        <w:rPr>
          <w:b/>
          <w:szCs w:val="24"/>
        </w:rPr>
      </w:pPr>
      <w:r>
        <w:rPr>
          <w:rFonts w:eastAsia="Times New Roman"/>
          <w:noProof/>
          <w:szCs w:val="24"/>
        </w:rPr>
      </w:r>
      <w:r>
        <w:rPr>
          <w:rFonts w:eastAsia="Times New Roman"/>
          <w:noProof/>
          <w:szCs w:val="24"/>
        </w:rPr>
      </w:r>
      <w:r>
        <w:rPr>
          <w:rFonts w:eastAsia="Times New Roman"/>
          <w:noProof/>
          <w:szCs w:val="24"/>
        </w:rPr>
      </w:r>
      <w:r>
        <w:rPr>
          <w:rFonts w:eastAsia="Times New Roman"/>
          <w:noProof/>
          <w:szCs w:val="24"/>
        </w:rPr>
        <w:drawing>
          <wp:inline distT="0" distB="0" distR="114300" distL="114300">
            <wp:extent cx="5486400" cy="3200400"/>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r>
        <w:rPr>
          <w:rFonts w:eastAsia="Times New Roman"/>
          <w:noProof/>
          <w:szCs w:val="24"/>
        </w:rPr>
      </w:r>
    </w:p>
    <w:p>
      <w:pPr>
        <w:pStyle w:val="style0"/>
        <w:spacing w:after="0" w:lineRule="auto" w:line="480"/>
        <w:jc w:val="left"/>
        <w:rPr>
          <w:szCs w:val="24"/>
        </w:rPr>
      </w:pPr>
      <w:r>
        <w:rPr>
          <w:szCs w:val="24"/>
        </w:rPr>
        <w:t xml:space="preserve">Based on the data available from the </w:t>
      </w:r>
      <w:r>
        <w:rPr>
          <w:szCs w:val="24"/>
        </w:rPr>
        <w:t xml:space="preserve">OJJDP and NCJJ, juvenile involvement in status offenses and </w:t>
      </w:r>
      <w:r>
        <w:rPr>
          <w:szCs w:val="24"/>
        </w:rPr>
        <w:t xml:space="preserve">arrests have recorded a tremendous decline since the 1980s. The numbers of juvenile arrests hit the highest point </w:t>
      </w:r>
      <w:r>
        <w:rPr>
          <w:szCs w:val="24"/>
        </w:rPr>
        <w:t>in the mid1990s</w:t>
      </w:r>
      <w:r>
        <w:rPr>
          <w:szCs w:val="24"/>
        </w:rPr>
        <w:t>. In 2010, juvenile arrests recorded a 21% from the arrests made from 2001</w:t>
      </w:r>
      <w:r>
        <w:rPr>
          <w:szCs w:val="24"/>
        </w:rPr>
        <w:t xml:space="preserve"> but the reasons </w:t>
      </w:r>
      <w:r>
        <w:rPr>
          <w:szCs w:val="24"/>
        </w:rPr>
        <w:t>behind the continuous fall are not well established. It is worth to note that as from 2010, national data of running away arrests are no longer available.</w:t>
      </w:r>
    </w:p>
    <w:p>
      <w:pPr>
        <w:pStyle w:val="style0"/>
        <w:spacing w:after="0" w:lineRule="auto" w:line="480"/>
        <w:jc w:val="left"/>
        <w:rPr>
          <w:b/>
          <w:szCs w:val="24"/>
        </w:rPr>
      </w:pPr>
      <w:r>
        <w:rPr>
          <w:b/>
          <w:szCs w:val="24"/>
        </w:rPr>
        <w:t>Drug Abuse Offender Characteristics</w:t>
      </w:r>
    </w:p>
    <w:p>
      <w:pPr>
        <w:pStyle w:val="style0"/>
        <w:spacing w:after="0" w:lineRule="auto" w:line="480"/>
        <w:jc w:val="left"/>
        <w:rPr>
          <w:b/>
          <w:szCs w:val="24"/>
        </w:rPr>
      </w:pPr>
      <w:r>
        <w:rPr>
          <w:b/>
          <w:noProof/>
          <w:szCs w:val="24"/>
        </w:rPr>
        <w:drawing>
          <wp:anchor distT="0" distB="0" distL="114300" distR="114300" simplePos="false" relativeHeight="2" behindDoc="false" locked="false" layoutInCell="true" allowOverlap="true">
            <wp:simplePos x="0" y="0"/>
            <wp:positionH relativeFrom="column">
              <wp:align>left</wp:align>
            </wp:positionH>
            <wp:positionV relativeFrom="paragraph">
              <wp:align>top</wp:align>
            </wp:positionV>
            <wp:extent cx="5486400" cy="3200400"/>
            <wp:effectExtent l="0" t="0" r="0" b="0"/>
            <wp:wrapSquare wrapText="bothSides"/>
            <wp:docPr id="102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3"/>
              </a:graphicData>
            </a:graphic>
          </wp:anchor>
        </w:drawing>
      </w:r>
    </w:p>
    <w:p>
      <w:pPr>
        <w:pStyle w:val="style0"/>
        <w:spacing w:after="0"/>
        <w:rPr>
          <w:szCs w:val="24"/>
        </w:rPr>
      </w:pPr>
    </w:p>
    <w:p>
      <w:pPr>
        <w:pStyle w:val="style0"/>
        <w:spacing w:after="0"/>
        <w:rPr>
          <w:szCs w:val="24"/>
        </w:rPr>
      </w:pPr>
    </w:p>
    <w:p>
      <w:pPr>
        <w:pStyle w:val="style0"/>
        <w:spacing w:after="0"/>
        <w:rPr>
          <w:szCs w:val="24"/>
        </w:rPr>
      </w:pPr>
    </w:p>
    <w:p>
      <w:pPr>
        <w:pStyle w:val="style0"/>
        <w:spacing w:after="0"/>
        <w:rPr>
          <w:szCs w:val="24"/>
        </w:rPr>
      </w:pPr>
    </w:p>
    <w:p>
      <w:pPr>
        <w:pStyle w:val="style0"/>
        <w:spacing w:after="0"/>
        <w:rPr>
          <w:szCs w:val="24"/>
        </w:rPr>
      </w:pPr>
    </w:p>
    <w:p>
      <w:pPr>
        <w:pStyle w:val="style0"/>
        <w:spacing w:after="0"/>
        <w:rPr>
          <w:szCs w:val="24"/>
        </w:rPr>
      </w:pPr>
    </w:p>
    <w:p>
      <w:pPr>
        <w:pStyle w:val="style0"/>
        <w:spacing w:after="0"/>
        <w:rPr>
          <w:szCs w:val="24"/>
        </w:rPr>
      </w:pPr>
    </w:p>
    <w:p>
      <w:pPr>
        <w:pStyle w:val="style0"/>
        <w:spacing w:after="0"/>
        <w:rPr>
          <w:szCs w:val="24"/>
        </w:rPr>
      </w:pPr>
    </w:p>
    <w:p>
      <w:pPr>
        <w:pStyle w:val="style0"/>
        <w:spacing w:after="0" w:lineRule="auto" w:line="480"/>
        <w:jc w:val="left"/>
        <w:rPr>
          <w:b/>
          <w:szCs w:val="24"/>
        </w:rPr>
      </w:pPr>
    </w:p>
    <w:p>
      <w:pPr>
        <w:pStyle w:val="style0"/>
        <w:spacing w:after="0" w:lineRule="auto" w:line="480"/>
        <w:jc w:val="left"/>
        <w:rPr>
          <w:b/>
          <w:szCs w:val="24"/>
        </w:rPr>
      </w:pPr>
    </w:p>
    <w:p>
      <w:pPr>
        <w:pStyle w:val="style0"/>
        <w:spacing w:after="0" w:lineRule="auto" w:line="480"/>
        <w:jc w:val="left"/>
        <w:rPr>
          <w:b/>
          <w:szCs w:val="24"/>
        </w:rPr>
      </w:pPr>
      <w:r>
        <w:rPr>
          <w:szCs w:val="24"/>
        </w:rPr>
        <w:t xml:space="preserve">The offender characteristics have been declining with the decline in arrests of drug abuse. Among the races, African Americans were noted to have the highest. In terms of gender, male proportions have </w:t>
      </w:r>
      <w:r>
        <w:rPr>
          <w:szCs w:val="24"/>
        </w:rPr>
        <w:t>been high throughout as compared to the female ones.</w:t>
      </w:r>
    </w:p>
    <w:p>
      <w:pPr>
        <w:pStyle w:val="style0"/>
        <w:spacing w:after="0" w:lineRule="auto" w:line="480"/>
        <w:jc w:val="left"/>
        <w:rPr>
          <w:b/>
          <w:szCs w:val="24"/>
        </w:rPr>
      </w:pPr>
      <w:r>
        <w:rPr>
          <w:b/>
          <w:szCs w:val="24"/>
        </w:rPr>
        <w:t>Definitions</w:t>
      </w:r>
    </w:p>
    <w:p>
      <w:pPr>
        <w:pStyle w:val="style0"/>
        <w:spacing w:after="0" w:lineRule="auto" w:line="480"/>
        <w:jc w:val="left"/>
        <w:rPr>
          <w:rFonts w:eastAsia="Times New Roman"/>
          <w:szCs w:val="24"/>
        </w:rPr>
      </w:pPr>
      <w:r>
        <w:rPr>
          <w:rFonts w:eastAsia="Times New Roman"/>
          <w:szCs w:val="24"/>
        </w:rPr>
        <w:t>Juvenile drug use</w:t>
      </w:r>
      <w:r>
        <w:rPr>
          <w:rFonts w:eastAsia="Times New Roman"/>
          <w:szCs w:val="24"/>
        </w:rPr>
        <w:t xml:space="preserve">: </w:t>
      </w:r>
      <w:r>
        <w:rPr>
          <w:rFonts w:eastAsia="Times New Roman"/>
          <w:szCs w:val="24"/>
        </w:rPr>
        <w:t>This is the abuse of drugs and substances by youths who are below the age of 18 years</w:t>
      </w:r>
      <w:r>
        <w:rPr>
          <w:rFonts w:eastAsia="Times New Roman"/>
          <w:szCs w:val="24"/>
        </w:rPr>
        <w:t xml:space="preserve"> (OJJDP)</w:t>
      </w:r>
      <w:r>
        <w:rPr>
          <w:rFonts w:eastAsia="Times New Roman"/>
          <w:szCs w:val="24"/>
        </w:rPr>
        <w:t>. Some of the substances abused include marijuana, opioids and cocaine.</w:t>
      </w:r>
    </w:p>
    <w:p>
      <w:pPr>
        <w:pStyle w:val="style0"/>
        <w:spacing w:after="0" w:lineRule="auto" w:line="480"/>
        <w:jc w:val="left"/>
        <w:rPr>
          <w:rFonts w:eastAsia="Times New Roman"/>
          <w:szCs w:val="24"/>
        </w:rPr>
      </w:pPr>
      <w:r>
        <w:rPr>
          <w:rFonts w:eastAsia="Times New Roman"/>
          <w:szCs w:val="24"/>
        </w:rPr>
        <w:t>underage drinking</w:t>
      </w:r>
      <w:r>
        <w:rPr>
          <w:rFonts w:eastAsia="Times New Roman"/>
          <w:szCs w:val="24"/>
        </w:rPr>
        <w:t xml:space="preserve">: Underage drinking refers to the consumption of </w:t>
      </w:r>
      <w:r>
        <w:rPr>
          <w:rFonts w:eastAsia="Times New Roman"/>
          <w:szCs w:val="24"/>
        </w:rPr>
        <w:t>alcohol by youths who are below the legal drinking age</w:t>
      </w:r>
      <w:r>
        <w:rPr>
          <w:color w:val="000000"/>
          <w:szCs w:val="24"/>
          <w:shd w:val="clear" w:color="auto" w:fill="ffffff"/>
        </w:rPr>
        <w:t xml:space="preserve"> </w:t>
      </w:r>
      <w:r>
        <w:rPr>
          <w:rFonts w:eastAsia="Times New Roman"/>
          <w:szCs w:val="24"/>
        </w:rPr>
        <w:t>(SAMHSA 2013).</w:t>
      </w:r>
    </w:p>
    <w:p>
      <w:pPr>
        <w:pStyle w:val="style0"/>
        <w:spacing w:after="0" w:lineRule="auto" w:line="480"/>
        <w:jc w:val="left"/>
        <w:rPr>
          <w:rFonts w:eastAsia="Times New Roman"/>
          <w:szCs w:val="24"/>
        </w:rPr>
      </w:pPr>
      <w:r>
        <w:rPr>
          <w:rFonts w:eastAsia="Times New Roman"/>
          <w:szCs w:val="24"/>
        </w:rPr>
        <w:t xml:space="preserve"> curfew violations</w:t>
      </w:r>
      <w:r>
        <w:rPr>
          <w:rFonts w:eastAsia="Times New Roman"/>
          <w:szCs w:val="24"/>
        </w:rPr>
        <w:t>:</w:t>
      </w:r>
      <w:r>
        <w:rPr>
          <w:rFonts w:eastAsia="Times New Roman"/>
          <w:szCs w:val="24"/>
        </w:rPr>
        <w:t xml:space="preserve"> A curfew violation is said to be committed when </w:t>
      </w:r>
      <w:r>
        <w:rPr>
          <w:rFonts w:eastAsia="Times New Roman"/>
          <w:szCs w:val="24"/>
        </w:rPr>
        <w:t>juveniles are found in public places without the company of a parent or guardian during hours that are restricted</w:t>
      </w:r>
      <w:r>
        <w:rPr>
          <w:rFonts w:eastAsia="Times New Roman"/>
          <w:szCs w:val="24"/>
        </w:rPr>
        <w:t xml:space="preserve"> (</w:t>
      </w:r>
      <w:r>
        <w:rPr>
          <w:rFonts w:eastAsia="Times New Roman"/>
          <w:szCs w:val="24"/>
        </w:rPr>
        <w:t>Yeide</w:t>
      </w:r>
      <w:r>
        <w:rPr>
          <w:rFonts w:eastAsia="Times New Roman"/>
          <w:szCs w:val="24"/>
        </w:rPr>
        <w:t xml:space="preserve"> and Cohen 2009).</w:t>
      </w:r>
      <w:r>
        <w:rPr>
          <w:rFonts w:eastAsia="Times New Roman"/>
          <w:szCs w:val="24"/>
        </w:rPr>
        <w:t xml:space="preserve"> Exemptions are made for those traveling to work, school or religious places.</w:t>
      </w:r>
    </w:p>
    <w:p>
      <w:pPr>
        <w:pStyle w:val="style0"/>
        <w:spacing w:after="0" w:lineRule="auto" w:line="480"/>
        <w:jc w:val="left"/>
        <w:rPr>
          <w:rFonts w:eastAsia="Times New Roman"/>
          <w:szCs w:val="24"/>
        </w:rPr>
      </w:pPr>
      <w:r>
        <w:rPr>
          <w:rFonts w:eastAsia="Times New Roman"/>
          <w:szCs w:val="24"/>
        </w:rPr>
        <w:t>R</w:t>
      </w:r>
      <w:r>
        <w:rPr>
          <w:rFonts w:eastAsia="Times New Roman"/>
          <w:szCs w:val="24"/>
        </w:rPr>
        <w:t>unning away</w:t>
      </w:r>
      <w:r>
        <w:rPr>
          <w:rFonts w:eastAsia="Times New Roman"/>
          <w:szCs w:val="24"/>
        </w:rPr>
        <w:t>: OJJDP defines r</w:t>
      </w:r>
      <w:r>
        <w:rPr>
          <w:rFonts w:eastAsia="Times New Roman"/>
          <w:szCs w:val="24"/>
        </w:rPr>
        <w:t>unning away as the act whereby children leave their homes without permissions and stay away overnight</w:t>
      </w:r>
      <w:r>
        <w:rPr>
          <w:szCs w:val="24"/>
        </w:rPr>
        <w:t xml:space="preserve"> (</w:t>
      </w:r>
      <w:r>
        <w:rPr>
          <w:rFonts w:eastAsia="Times New Roman"/>
          <w:szCs w:val="24"/>
        </w:rPr>
        <w:t xml:space="preserve">Snyder and </w:t>
      </w:r>
      <w:r>
        <w:rPr>
          <w:rFonts w:eastAsia="Times New Roman"/>
          <w:szCs w:val="24"/>
        </w:rPr>
        <w:t>Sickmund</w:t>
      </w:r>
      <w:r>
        <w:rPr>
          <w:rFonts w:eastAsia="Times New Roman"/>
          <w:szCs w:val="24"/>
        </w:rPr>
        <w:t xml:space="preserve"> 2006</w:t>
      </w:r>
      <w:r>
        <w:rPr>
          <w:rFonts w:eastAsia="Times New Roman"/>
          <w:szCs w:val="24"/>
        </w:rPr>
        <w:t>).</w:t>
      </w:r>
      <w:r>
        <w:rPr>
          <w:rFonts w:eastAsia="Times New Roman"/>
          <w:szCs w:val="24"/>
        </w:rPr>
        <w:t xml:space="preserve"> Situational runaways </w:t>
      </w:r>
      <w:r>
        <w:rPr>
          <w:rFonts w:eastAsia="Times New Roman"/>
          <w:szCs w:val="24"/>
        </w:rPr>
        <w:t xml:space="preserve">include those who </w:t>
      </w:r>
      <w:r>
        <w:rPr>
          <w:rFonts w:eastAsia="Times New Roman"/>
          <w:szCs w:val="24"/>
        </w:rPr>
        <w:t>run away and return after a few nights while long term runaways do leave for long periods.</w:t>
      </w:r>
    </w:p>
    <w:p>
      <w:pPr>
        <w:pStyle w:val="style0"/>
        <w:spacing w:after="0" w:lineRule="auto" w:line="480"/>
        <w:jc w:val="left"/>
        <w:rPr>
          <w:rFonts w:eastAsia="Times New Roman"/>
          <w:szCs w:val="24"/>
        </w:rPr>
      </w:pPr>
      <w:r>
        <w:rPr>
          <w:rFonts w:eastAsia="Times New Roman"/>
          <w:szCs w:val="24"/>
        </w:rPr>
        <w:t>Religiosity is widely related to status offenses</w:t>
      </w:r>
      <w:r>
        <w:rPr>
          <w:rFonts w:eastAsia="Times New Roman"/>
          <w:szCs w:val="24"/>
        </w:rPr>
        <w:t xml:space="preserve"> as showcased in different literature over the decades. In the publication ‘Hellfire and Delinquency’, juven</w:t>
      </w:r>
      <w:r>
        <w:rPr>
          <w:rFonts w:eastAsia="Times New Roman"/>
          <w:szCs w:val="24"/>
        </w:rPr>
        <w:t>iles who are said to attend church regularly are as likely to commit crimes are those who do not.</w:t>
      </w:r>
      <w:r>
        <w:rPr>
          <w:rFonts w:eastAsia="Times New Roman"/>
          <w:szCs w:val="24"/>
        </w:rPr>
        <w:t xml:space="preserve">  The social bonds created during the religious practices is what matters for religion to prevent crime. Some types of organized religion have also been attributed to </w:t>
      </w:r>
      <w:r>
        <w:rPr>
          <w:rFonts w:eastAsia="Times New Roman"/>
          <w:szCs w:val="24"/>
        </w:rPr>
        <w:t xml:space="preserve">causing prevalence of crime in the society. Based on other literature, religion does have a central place </w:t>
      </w:r>
      <w:r>
        <w:rPr>
          <w:rFonts w:eastAsia="Times New Roman"/>
          <w:szCs w:val="24"/>
        </w:rPr>
        <w:t>in social control and bonding.</w:t>
      </w:r>
    </w:p>
    <w:p>
      <w:pPr>
        <w:pStyle w:val="style0"/>
        <w:spacing w:after="0" w:lineRule="auto" w:line="480"/>
        <w:jc w:val="left"/>
        <w:rPr>
          <w:rFonts w:eastAsia="Times New Roman"/>
          <w:b/>
          <w:szCs w:val="24"/>
        </w:rPr>
      </w:pPr>
      <w:r>
        <w:rPr>
          <w:rFonts w:eastAsia="Times New Roman"/>
          <w:b/>
          <w:szCs w:val="24"/>
        </w:rPr>
        <w:t xml:space="preserve">Definition for </w:t>
      </w:r>
      <w:r>
        <w:rPr>
          <w:rFonts w:eastAsia="Times New Roman"/>
          <w:b/>
          <w:szCs w:val="24"/>
        </w:rPr>
        <w:t>Religion/Religiosity</w:t>
      </w:r>
    </w:p>
    <w:p>
      <w:pPr>
        <w:pStyle w:val="style0"/>
        <w:spacing w:after="0" w:lineRule="auto" w:line="480"/>
        <w:jc w:val="left"/>
        <w:rPr>
          <w:szCs w:val="24"/>
        </w:rPr>
      </w:pPr>
      <w:r>
        <w:rPr>
          <w:rFonts w:eastAsia="Times New Roman"/>
          <w:szCs w:val="24"/>
        </w:rPr>
        <w:t xml:space="preserve">Religion and religiosity are both subjects that have led to scholars failing to agree on any common definition. </w:t>
      </w:r>
      <w:r>
        <w:rPr>
          <w:rFonts w:eastAsia="Times New Roman"/>
          <w:szCs w:val="24"/>
        </w:rPr>
        <w:t xml:space="preserve">This study will adopt </w:t>
      </w:r>
      <w:r>
        <w:rPr>
          <w:rFonts w:eastAsia="Times New Roman"/>
          <w:szCs w:val="24"/>
        </w:rPr>
        <w:t>Emile Durkheim</w:t>
      </w:r>
      <w:r>
        <w:rPr>
          <w:rFonts w:eastAsia="Times New Roman"/>
          <w:szCs w:val="24"/>
        </w:rPr>
        <w:t>’s definition which views</w:t>
      </w:r>
      <w:r>
        <w:rPr>
          <w:rFonts w:eastAsia="Times New Roman"/>
          <w:szCs w:val="24"/>
        </w:rPr>
        <w:t xml:space="preserve"> religion as a system of practices and beliefs to sacred </w:t>
      </w:r>
      <w:r>
        <w:rPr>
          <w:rFonts w:eastAsia="Times New Roman"/>
          <w:szCs w:val="24"/>
        </w:rPr>
        <w:t xml:space="preserve">things which unite </w:t>
      </w:r>
      <w:r>
        <w:rPr>
          <w:rFonts w:eastAsia="Times New Roman"/>
          <w:szCs w:val="24"/>
        </w:rPr>
        <w:t xml:space="preserve">people </w:t>
      </w:r>
      <w:r>
        <w:rPr>
          <w:rFonts w:eastAsia="Times New Roman"/>
          <w:szCs w:val="24"/>
        </w:rPr>
        <w:t>into a moral society.</w:t>
      </w:r>
      <w:r>
        <w:rPr>
          <w:rFonts w:eastAsia="Times New Roman"/>
          <w:szCs w:val="24"/>
        </w:rPr>
        <w:t xml:space="preserve"> On the other hand, religiosity is described as a concept about religious orientations and involvements.</w:t>
      </w:r>
      <w:r>
        <w:rPr>
          <w:rFonts w:eastAsia="Times New Roman"/>
          <w:szCs w:val="24"/>
        </w:rPr>
        <w:t xml:space="preserve"> These definitions can be justified by the fact that religion and religiosity are</w:t>
      </w:r>
      <w:r>
        <w:rPr>
          <w:rFonts w:eastAsia="Times New Roman"/>
          <w:szCs w:val="24"/>
        </w:rPr>
        <w:t xml:space="preserve"> of social</w:t>
      </w:r>
      <w:r>
        <w:rPr>
          <w:rFonts w:eastAsia="Times New Roman"/>
          <w:szCs w:val="24"/>
        </w:rPr>
        <w:t xml:space="preserve"> phenomena</w:t>
      </w:r>
      <w:r>
        <w:rPr>
          <w:rFonts w:eastAsia="Times New Roman"/>
          <w:szCs w:val="24"/>
        </w:rPr>
        <w:t>. Given that religion is characterized and described differently in various societies, the study has to encompass all the beliefs, systems and practices.</w:t>
      </w:r>
    </w:p>
    <w:p>
      <w:pPr>
        <w:pStyle w:val="style0"/>
        <w:spacing w:after="0" w:lineRule="auto" w:line="480"/>
        <w:jc w:val="left"/>
        <w:rPr>
          <w:b/>
          <w:szCs w:val="24"/>
        </w:rPr>
      </w:pPr>
      <w:r>
        <w:rPr>
          <w:noProof/>
          <w:szCs w:val="24"/>
        </w:rPr>
      </w:r>
      <w:r>
        <w:rPr>
          <w:noProof/>
          <w:szCs w:val="24"/>
        </w:rPr>
      </w:r>
      <w:r>
        <w:rPr>
          <w:noProof/>
          <w:szCs w:val="24"/>
        </w:rPr>
      </w:r>
      <w:r>
        <w:rPr>
          <w:noProof/>
          <w:szCs w:val="24"/>
        </w:rPr>
        <w:drawing>
          <wp:inline distT="0" distB="0" distR="114300" distL="114300">
            <wp:extent cx="5486400" cy="2609850"/>
            <wp:effectExtent l="0" t="0" r="0" b="0"/>
            <wp:docPr id="1031"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r>
        <w:rPr>
          <w:noProof/>
          <w:szCs w:val="24"/>
        </w:rPr>
      </w:r>
    </w:p>
    <w:p>
      <w:pPr>
        <w:pStyle w:val="style0"/>
        <w:spacing w:after="0" w:lineRule="auto" w:line="480"/>
        <w:jc w:val="left"/>
        <w:rPr>
          <w:b/>
          <w:szCs w:val="24"/>
        </w:rPr>
      </w:pPr>
      <w:r>
        <w:rPr>
          <w:szCs w:val="24"/>
        </w:rPr>
        <w:t xml:space="preserve">In the available data, the beginning of 2010 was depicted by high number of individuals </w:t>
      </w:r>
      <w:r>
        <w:rPr>
          <w:szCs w:val="24"/>
        </w:rPr>
        <w:t>who believed in God according to studies carried out was an average of 92% of the respondents. Of this, only 28% attended church services on a regular basis. Towards 2016, the numbers are noted to have declined slightly over the years.</w:t>
      </w:r>
    </w:p>
    <w:p>
      <w:pPr>
        <w:pStyle w:val="style0"/>
        <w:spacing w:after="0" w:lineRule="auto" w:line="480"/>
        <w:jc w:val="left"/>
        <w:rPr>
          <w:b/>
          <w:szCs w:val="24"/>
        </w:rPr>
      </w:pPr>
      <w:r>
        <w:rPr>
          <w:noProof/>
          <w:szCs w:val="24"/>
        </w:rPr>
      </w:r>
      <w:r>
        <w:rPr>
          <w:noProof/>
          <w:szCs w:val="24"/>
        </w:rPr>
      </w:r>
      <w:r>
        <w:rPr>
          <w:noProof/>
          <w:szCs w:val="24"/>
        </w:rPr>
      </w:r>
      <w:r>
        <w:rPr>
          <w:noProof/>
          <w:szCs w:val="24"/>
        </w:rPr>
        <w:drawing>
          <wp:inline distT="0" distB="0" distR="114300" distL="114300">
            <wp:extent cx="5486400" cy="3200400"/>
            <wp:effectExtent l="0" t="0" r="0" b="0"/>
            <wp:docPr id="1033"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noProof/>
          <w:szCs w:val="24"/>
        </w:rPr>
      </w:r>
    </w:p>
    <w:p>
      <w:pPr>
        <w:pStyle w:val="style0"/>
        <w:spacing w:after="0" w:lineRule="auto" w:line="480"/>
        <w:jc w:val="left"/>
        <w:rPr>
          <w:szCs w:val="24"/>
        </w:rPr>
      </w:pPr>
      <w:r>
        <w:rPr>
          <w:szCs w:val="24"/>
        </w:rPr>
        <w:t>The number of people who believe in heaven by age were depicted as follows: 18-29 (21%), 30-49</w:t>
      </w:r>
      <w:r>
        <w:rPr>
          <w:szCs w:val="24"/>
        </w:rPr>
        <w:t>(34%), 50-64(27%) and Above 65(18%)</w:t>
      </w:r>
    </w:p>
    <w:p>
      <w:pPr>
        <w:pStyle w:val="style0"/>
        <w:spacing w:after="0" w:lineRule="auto" w:line="480"/>
        <w:jc w:val="left"/>
        <w:rPr>
          <w:b/>
          <w:szCs w:val="24"/>
        </w:rPr>
      </w:pPr>
    </w:p>
    <w:p>
      <w:pPr>
        <w:pStyle w:val="style0"/>
        <w:spacing w:after="0" w:lineRule="auto" w:line="480"/>
        <w:jc w:val="left"/>
        <w:rPr>
          <w:b/>
          <w:szCs w:val="24"/>
        </w:rPr>
      </w:pPr>
      <w:r>
        <w:rPr>
          <w:noProof/>
          <w:szCs w:val="24"/>
        </w:rPr>
      </w:r>
      <w:r>
        <w:rPr>
          <w:noProof/>
          <w:szCs w:val="24"/>
        </w:rPr>
      </w:r>
      <w:r>
        <w:rPr>
          <w:noProof/>
          <w:szCs w:val="24"/>
        </w:rPr>
      </w:r>
      <w:r>
        <w:rPr>
          <w:noProof/>
          <w:szCs w:val="24"/>
        </w:rPr>
        <w:drawing>
          <wp:inline distT="0" distB="0" distR="114300" distL="114300">
            <wp:extent cx="5486400" cy="3200400"/>
            <wp:effectExtent l="0" t="0" r="0" b="0"/>
            <wp:docPr id="1035"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noProof/>
          <w:szCs w:val="24"/>
        </w:rPr>
      </w:r>
    </w:p>
    <w:p>
      <w:pPr>
        <w:pStyle w:val="style0"/>
        <w:spacing w:after="0" w:lineRule="auto" w:line="480"/>
        <w:jc w:val="left"/>
        <w:rPr>
          <w:szCs w:val="24"/>
        </w:rPr>
      </w:pPr>
      <w:r>
        <w:rPr>
          <w:szCs w:val="24"/>
        </w:rPr>
        <w:t>With re</w:t>
      </w:r>
      <w:r>
        <w:rPr>
          <w:szCs w:val="24"/>
        </w:rPr>
        <w:t>gard to the available data believes in heaven as per gender, women have a 55% percentage while men have a 45%.</w:t>
      </w:r>
    </w:p>
    <w:p>
      <w:pPr>
        <w:pStyle w:val="style0"/>
        <w:spacing w:after="0" w:lineRule="auto" w:line="480"/>
        <w:jc w:val="left"/>
        <w:rPr>
          <w:b/>
          <w:szCs w:val="24"/>
        </w:rPr>
      </w:pPr>
      <w:r>
        <w:rPr>
          <w:b/>
          <w:szCs w:val="24"/>
        </w:rPr>
        <w:t>Previous Literature</w:t>
      </w:r>
    </w:p>
    <w:p>
      <w:pPr>
        <w:pStyle w:val="style0"/>
        <w:spacing w:after="0" w:lineRule="auto" w:line="480"/>
        <w:jc w:val="left"/>
        <w:rPr>
          <w:szCs w:val="24"/>
        </w:rPr>
      </w:pPr>
      <w:r>
        <w:rPr>
          <w:szCs w:val="24"/>
        </w:rPr>
        <w:t xml:space="preserve">Research and studies pertaining to correlation between religion and crime have been in existence for decades. </w:t>
      </w:r>
      <w:r>
        <w:rPr>
          <w:szCs w:val="24"/>
        </w:rPr>
        <w:t>According to Salvatore and Rubin (2018), f</w:t>
      </w:r>
      <w:r>
        <w:rPr>
          <w:szCs w:val="24"/>
        </w:rPr>
        <w:t xml:space="preserve">indings and claims that have </w:t>
      </w:r>
      <w:r>
        <w:rPr>
          <w:szCs w:val="24"/>
        </w:rPr>
        <w:t>been presented over the years have been conflicting. Studies of the early 1940s came into a conclusion that</w:t>
      </w:r>
      <w:r>
        <w:rPr>
          <w:szCs w:val="24"/>
        </w:rPr>
        <w:t xml:space="preserve"> religion was in deed a causal factor of crime and delinquency, something that has been continuously used by other scholars to link religious beliefs, moral codes and supporting </w:t>
      </w:r>
      <w:r>
        <w:rPr>
          <w:szCs w:val="24"/>
        </w:rPr>
        <w:t>legislations of practices including sexual behavior and consumption of alcohol.</w:t>
      </w:r>
      <w:r>
        <w:rPr>
          <w:szCs w:val="24"/>
        </w:rPr>
        <w:t xml:space="preserve"> According to (Jang 2013), the publication of </w:t>
      </w:r>
      <w:r>
        <w:rPr>
          <w:szCs w:val="24"/>
        </w:rPr>
        <w:t xml:space="preserve">‘Hellfire and </w:t>
      </w:r>
      <w:r>
        <w:rPr>
          <w:szCs w:val="24"/>
        </w:rPr>
        <w:t>Deliquency</w:t>
      </w:r>
      <w:r>
        <w:rPr>
          <w:szCs w:val="24"/>
        </w:rPr>
        <w:t xml:space="preserve">’ by Hirschi and Stark formed a vital basis for research to be carried out. In the publication, it was reported that there was no relationship between </w:t>
      </w:r>
      <w:r>
        <w:rPr>
          <w:szCs w:val="24"/>
        </w:rPr>
        <w:t xml:space="preserve">religiosity and delinquency, a finding that contradicted with previous studies hence drawing much attention. </w:t>
      </w:r>
      <w:r>
        <w:rPr>
          <w:szCs w:val="24"/>
        </w:rPr>
        <w:t>One of the reactions that was triggered by the finding was that the study prior to publication had analyzed types of data that</w:t>
      </w:r>
      <w:r>
        <w:rPr>
          <w:szCs w:val="24"/>
        </w:rPr>
        <w:t xml:space="preserve"> had a less likelihood of </w:t>
      </w:r>
      <w:r>
        <w:rPr>
          <w:szCs w:val="24"/>
        </w:rPr>
        <w:t>detecting significant relationships.</w:t>
      </w:r>
      <w:r>
        <w:rPr>
          <w:szCs w:val="24"/>
        </w:rPr>
        <w:t xml:space="preserve"> On the contrary, modern research findings</w:t>
      </w:r>
      <w:r>
        <w:rPr>
          <w:szCs w:val="24"/>
        </w:rPr>
        <w:t xml:space="preserve"> both at micro and macro levels</w:t>
      </w:r>
      <w:r>
        <w:rPr>
          <w:szCs w:val="24"/>
        </w:rPr>
        <w:t xml:space="preserve"> tend </w:t>
      </w:r>
      <w:r>
        <w:rPr>
          <w:szCs w:val="24"/>
        </w:rPr>
        <w:t xml:space="preserve">to confirm significant negative impacts and associations between religion, drug use and crime. </w:t>
      </w:r>
    </w:p>
    <w:p>
      <w:pPr>
        <w:pStyle w:val="style0"/>
        <w:spacing w:after="0" w:lineRule="auto" w:line="480"/>
        <w:jc w:val="left"/>
        <w:rPr>
          <w:szCs w:val="24"/>
        </w:rPr>
      </w:pPr>
      <w:r>
        <w:rPr>
          <w:szCs w:val="24"/>
        </w:rPr>
        <w:t xml:space="preserve">Critical reviews on religion and crime are mostly published </w:t>
      </w:r>
      <w:r>
        <w:rPr>
          <w:szCs w:val="24"/>
        </w:rPr>
        <w:t xml:space="preserve">on a regular basis while as advanced forms of literature reviews are adopting either systematic review approach or meta-analysis. </w:t>
      </w:r>
      <w:r>
        <w:rPr>
          <w:szCs w:val="24"/>
        </w:rPr>
        <w:t xml:space="preserve">‘A systematic review of the religiosity and delinquency literature’ by Johnson et al. (2000) was the first to systematic review of research to be published. </w:t>
      </w:r>
      <w:r>
        <w:rPr>
          <w:szCs w:val="24"/>
        </w:rPr>
        <w:t>In the publication, research dating from 1985 to 1997 was reviewed and led to motivation of other studies to be carried out in a similar manner. The findings of Johnson et al. (2000) were similar t</w:t>
      </w:r>
      <w:r>
        <w:rPr>
          <w:szCs w:val="24"/>
        </w:rPr>
        <w:t xml:space="preserve">o other </w:t>
      </w:r>
      <w:r>
        <w:rPr>
          <w:szCs w:val="24"/>
        </w:rPr>
        <w:t>researches</w:t>
      </w:r>
      <w:r>
        <w:rPr>
          <w:szCs w:val="24"/>
        </w:rPr>
        <w:t xml:space="preserve"> that had reported a negative significance between religion and crime. According to </w:t>
      </w:r>
      <w:r>
        <w:rPr>
          <w:szCs w:val="24"/>
        </w:rPr>
        <w:t>Koening</w:t>
      </w:r>
      <w:r>
        <w:rPr>
          <w:szCs w:val="24"/>
        </w:rPr>
        <w:t xml:space="preserve"> et al</w:t>
      </w:r>
      <w:r>
        <w:rPr>
          <w:szCs w:val="24"/>
        </w:rPr>
        <w:t xml:space="preserve">. 2001, various studies have already identified a positive and beneficial outcome related to the role of religion among the youth populations. Additionally, the authors concluded that </w:t>
      </w:r>
      <w:r>
        <w:rPr>
          <w:szCs w:val="24"/>
        </w:rPr>
        <w:t xml:space="preserve">young people who were termed to be religious were less likely to be involved in </w:t>
      </w:r>
      <w:r>
        <w:rPr>
          <w:szCs w:val="24"/>
        </w:rPr>
        <w:t>crime as well as drug abuse. The findings were in support o</w:t>
      </w:r>
      <w:r>
        <w:rPr>
          <w:szCs w:val="24"/>
        </w:rPr>
        <w:t xml:space="preserve">f those by Johnson et al. (2000). </w:t>
      </w:r>
      <w:r>
        <w:rPr>
          <w:szCs w:val="24"/>
        </w:rPr>
        <w:t xml:space="preserve"> Bailer and Wright (2001) have also noted in their study that systematic review of literature by scholars </w:t>
      </w:r>
      <w:r>
        <w:rPr>
          <w:szCs w:val="24"/>
        </w:rPr>
        <w:t xml:space="preserve">have proved it not to be contradictory and disparate as had been the notion in early studies. </w:t>
      </w:r>
    </w:p>
    <w:p>
      <w:pPr>
        <w:pStyle w:val="style0"/>
        <w:spacing w:after="0" w:lineRule="auto" w:line="480"/>
        <w:jc w:val="left"/>
        <w:rPr>
          <w:szCs w:val="24"/>
        </w:rPr>
      </w:pPr>
      <w:r>
        <w:rPr>
          <w:szCs w:val="24"/>
        </w:rPr>
        <w:t xml:space="preserve">Much of the previous literature focused on </w:t>
      </w:r>
      <w:r>
        <w:rPr>
          <w:szCs w:val="24"/>
        </w:rPr>
        <w:t xml:space="preserve">the role of religion in influencing negative behaviors in the society like crime and drug abuse especially among the youth. </w:t>
      </w:r>
      <w:r>
        <w:rPr>
          <w:szCs w:val="24"/>
        </w:rPr>
        <w:t>Additionally,</w:t>
      </w:r>
      <w:r>
        <w:rPr>
          <w:szCs w:val="24"/>
        </w:rPr>
        <w:t xml:space="preserve"> majority of</w:t>
      </w:r>
      <w:r>
        <w:rPr>
          <w:szCs w:val="24"/>
        </w:rPr>
        <w:t xml:space="preserve"> it has</w:t>
      </w:r>
      <w:r>
        <w:rPr>
          <w:szCs w:val="24"/>
        </w:rPr>
        <w:t xml:space="preserve"> been supportive of the perspective that religion in the society is not a source of negative norms and </w:t>
      </w:r>
      <w:r>
        <w:rPr>
          <w:szCs w:val="24"/>
        </w:rPr>
        <w:t>behaviors</w:t>
      </w:r>
      <w:r>
        <w:rPr>
          <w:szCs w:val="24"/>
        </w:rPr>
        <w:t>.</w:t>
      </w:r>
      <w:r>
        <w:rPr>
          <w:szCs w:val="24"/>
        </w:rPr>
        <w:t xml:space="preserve"> </w:t>
      </w:r>
      <w:r>
        <w:rPr>
          <w:szCs w:val="24"/>
        </w:rPr>
        <w:t>In this study, the objective will be</w:t>
      </w:r>
      <w:r>
        <w:rPr>
          <w:szCs w:val="24"/>
        </w:rPr>
        <w:t xml:space="preserve"> to</w:t>
      </w:r>
      <w:r>
        <w:rPr>
          <w:szCs w:val="24"/>
        </w:rPr>
        <w:t xml:space="preserve"> provide literature for application of religion to criminological theory as it has been an area not widely researched on.</w:t>
      </w:r>
      <w:r>
        <w:rPr>
          <w:szCs w:val="24"/>
        </w:rPr>
        <w:t xml:space="preserve"> </w:t>
      </w:r>
      <w:r>
        <w:rPr>
          <w:szCs w:val="24"/>
        </w:rPr>
        <w:t>Since the first research relating to religion and crime, there has been tremendous questioning on the relevance of examining impacts of religion o</w:t>
      </w:r>
      <w:r>
        <w:rPr>
          <w:szCs w:val="24"/>
        </w:rPr>
        <w:t>n crime. It has in turn led to the</w:t>
      </w:r>
      <w:r>
        <w:rPr>
          <w:szCs w:val="24"/>
        </w:rPr>
        <w:t xml:space="preserve"> study area of religion</w:t>
      </w:r>
      <w:r>
        <w:rPr>
          <w:szCs w:val="24"/>
        </w:rPr>
        <w:t xml:space="preserve"> </w:t>
      </w:r>
      <w:r>
        <w:rPr>
          <w:szCs w:val="24"/>
        </w:rPr>
        <w:t xml:space="preserve">been </w:t>
      </w:r>
      <w:r>
        <w:rPr>
          <w:szCs w:val="24"/>
        </w:rPr>
        <w:t xml:space="preserve">characterized by </w:t>
      </w:r>
      <w:r>
        <w:rPr>
          <w:szCs w:val="24"/>
        </w:rPr>
        <w:t>gap</w:t>
      </w:r>
      <w:r>
        <w:rPr>
          <w:szCs w:val="24"/>
        </w:rPr>
        <w:t xml:space="preserve">s, </w:t>
      </w:r>
      <w:r>
        <w:rPr>
          <w:szCs w:val="24"/>
        </w:rPr>
        <w:t>hence prompting thi</w:t>
      </w:r>
      <w:r>
        <w:rPr>
          <w:szCs w:val="24"/>
        </w:rPr>
        <w:t>s research</w:t>
      </w:r>
      <w:r>
        <w:rPr>
          <w:szCs w:val="24"/>
        </w:rPr>
        <w:t xml:space="preserve"> to apply it in criminological theory.</w:t>
      </w:r>
      <w:r>
        <w:rPr>
          <w:szCs w:val="24"/>
        </w:rPr>
        <w:t xml:space="preserve"> The application of religion in criminal theory makes the study outstanding</w:t>
      </w:r>
      <w:r>
        <w:rPr>
          <w:szCs w:val="24"/>
        </w:rPr>
        <w:t>,</w:t>
      </w:r>
      <w:r>
        <w:rPr>
          <w:szCs w:val="24"/>
        </w:rPr>
        <w:t xml:space="preserve"> as it provides an opportunity for examining findings and literature</w:t>
      </w:r>
      <w:r>
        <w:rPr>
          <w:szCs w:val="24"/>
        </w:rPr>
        <w:t>, some</w:t>
      </w:r>
      <w:r>
        <w:rPr>
          <w:szCs w:val="24"/>
        </w:rPr>
        <w:t xml:space="preserve"> of which</w:t>
      </w:r>
      <w:r>
        <w:rPr>
          <w:szCs w:val="24"/>
        </w:rPr>
        <w:t xml:space="preserve"> ha</w:t>
      </w:r>
      <w:r>
        <w:rPr>
          <w:szCs w:val="24"/>
        </w:rPr>
        <w:t>ve</w:t>
      </w:r>
      <w:r>
        <w:rPr>
          <w:szCs w:val="24"/>
        </w:rPr>
        <w:t xml:space="preserve"> been </w:t>
      </w:r>
      <w:r>
        <w:rPr>
          <w:szCs w:val="24"/>
        </w:rPr>
        <w:t>omitted in previous studies.</w:t>
      </w:r>
    </w:p>
    <w:p>
      <w:pPr>
        <w:pStyle w:val="style0"/>
        <w:spacing w:after="0" w:lineRule="auto" w:line="480"/>
        <w:jc w:val="left"/>
        <w:rPr>
          <w:b/>
          <w:szCs w:val="24"/>
        </w:rPr>
      </w:pPr>
      <w:r>
        <w:rPr>
          <w:b/>
          <w:szCs w:val="24"/>
        </w:rPr>
        <w:t>Theory Explanation and Application</w:t>
      </w:r>
    </w:p>
    <w:p>
      <w:pPr>
        <w:pStyle w:val="style0"/>
        <w:spacing w:after="0" w:lineRule="auto" w:line="480"/>
        <w:jc w:val="left"/>
        <w:rPr>
          <w:szCs w:val="24"/>
        </w:rPr>
      </w:pPr>
      <w:r>
        <w:rPr>
          <w:szCs w:val="24"/>
        </w:rPr>
        <w:t xml:space="preserve">Criminological theories have for long assumed existence of a negative relationship between religion and </w:t>
      </w:r>
      <w:r>
        <w:rPr>
          <w:szCs w:val="24"/>
        </w:rPr>
        <w:t xml:space="preserve">crime. </w:t>
      </w:r>
      <w:r>
        <w:rPr>
          <w:szCs w:val="24"/>
        </w:rPr>
        <w:t xml:space="preserve">Additionally, these theories have proved to be important in guiding scientific research. </w:t>
      </w:r>
      <w:r>
        <w:rPr>
          <w:szCs w:val="24"/>
        </w:rPr>
        <w:t xml:space="preserve">On the contrary, no single theory is enough to explain all the delinquency and crimes in the society. This study will hence adopt both the differential association theory and social bond theory in a bid </w:t>
      </w:r>
      <w:r>
        <w:rPr>
          <w:szCs w:val="24"/>
        </w:rPr>
        <w:t xml:space="preserve">to give more emphasis and descriptions about </w:t>
      </w:r>
      <w:r>
        <w:rPr>
          <w:szCs w:val="24"/>
        </w:rPr>
        <w:t xml:space="preserve">juvenile </w:t>
      </w:r>
      <w:r>
        <w:rPr>
          <w:szCs w:val="24"/>
        </w:rPr>
        <w:t>crime and religion.</w:t>
      </w:r>
    </w:p>
    <w:p>
      <w:pPr>
        <w:pStyle w:val="style0"/>
        <w:spacing w:after="0" w:lineRule="auto" w:line="480"/>
        <w:jc w:val="left"/>
        <w:rPr>
          <w:b/>
          <w:szCs w:val="24"/>
        </w:rPr>
      </w:pPr>
      <w:r>
        <w:rPr>
          <w:b/>
          <w:szCs w:val="24"/>
        </w:rPr>
        <w:t>Social Disorganization Theory</w:t>
      </w:r>
    </w:p>
    <w:p>
      <w:pPr>
        <w:pStyle w:val="style0"/>
        <w:spacing w:after="0" w:lineRule="auto" w:line="480"/>
        <w:jc w:val="left"/>
        <w:rPr>
          <w:szCs w:val="24"/>
        </w:rPr>
      </w:pPr>
      <w:r>
        <w:rPr>
          <w:szCs w:val="24"/>
        </w:rPr>
        <w:t>The social disorganization theory was developed after a study in Chicago</w:t>
      </w:r>
      <w:r>
        <w:rPr>
          <w:szCs w:val="24"/>
        </w:rPr>
        <w:t>. The theo</w:t>
      </w:r>
      <w:r>
        <w:rPr>
          <w:szCs w:val="24"/>
        </w:rPr>
        <w:t>ry links and relates crime rate</w:t>
      </w:r>
      <w:r>
        <w:rPr>
          <w:szCs w:val="24"/>
        </w:rPr>
        <w:t xml:space="preserve">s with ecological characteristics such as neighborhoods. The theory argues that an individual’s residential location is one of the determining factors as </w:t>
      </w:r>
      <w:r>
        <w:rPr>
          <w:szCs w:val="24"/>
        </w:rPr>
        <w:t xml:space="preserve">to whether they will likely get involved in illegal activities. </w:t>
      </w:r>
      <w:r>
        <w:rPr>
          <w:szCs w:val="24"/>
        </w:rPr>
        <w:t xml:space="preserve">Based on the article ‘review of the roots of youth violence’ by the ministry of children, community and social services, there exists a relationship between this theory and youth violence. The study by Shawn and </w:t>
      </w:r>
      <w:r>
        <w:rPr>
          <w:szCs w:val="24"/>
        </w:rPr>
        <w:t>McKay</w:t>
      </w:r>
      <w:r>
        <w:rPr>
          <w:szCs w:val="24"/>
        </w:rPr>
        <w:t xml:space="preserve"> can be identified as the first to </w:t>
      </w:r>
      <w:r>
        <w:rPr>
          <w:szCs w:val="24"/>
        </w:rPr>
        <w:t xml:space="preserve">acknowledge existence of the relationship as they used spatial maps to examine locations of juveniles and their involvement in crime. </w:t>
      </w:r>
      <w:r>
        <w:rPr>
          <w:szCs w:val="24"/>
        </w:rPr>
        <w:t xml:space="preserve">In 2005, an article on effects of economic deprivation used the theory to analyze ranks of poverty and the influence on crime. </w:t>
      </w:r>
      <w:r>
        <w:rPr>
          <w:szCs w:val="24"/>
        </w:rPr>
        <w:t xml:space="preserve">The social disorganization theory is important in this study as it help in determining how location characteristics do affect juvenile drug use, underage drinking and curfew violations. </w:t>
      </w:r>
      <w:r>
        <w:rPr>
          <w:szCs w:val="24"/>
        </w:rPr>
        <w:t xml:space="preserve">In terms of </w:t>
      </w:r>
      <w:r>
        <w:rPr>
          <w:szCs w:val="24"/>
        </w:rPr>
        <w:t>religion, religious institutions within different locations are agents of social control and organization hence will help determine relationship between the theory and religion.</w:t>
      </w:r>
    </w:p>
    <w:p>
      <w:pPr>
        <w:pStyle w:val="style0"/>
        <w:spacing w:after="0" w:lineRule="auto" w:line="480"/>
        <w:jc w:val="left"/>
        <w:rPr>
          <w:szCs w:val="24"/>
        </w:rPr>
      </w:pPr>
      <w:r>
        <w:rPr>
          <w:b/>
          <w:szCs w:val="24"/>
        </w:rPr>
        <w:t>Social Bond Theory</w:t>
      </w:r>
    </w:p>
    <w:p>
      <w:pPr>
        <w:pStyle w:val="style0"/>
        <w:spacing w:after="0" w:lineRule="auto" w:line="480"/>
        <w:jc w:val="left"/>
        <w:rPr>
          <w:szCs w:val="24"/>
        </w:rPr>
      </w:pPr>
      <w:r>
        <w:rPr>
          <w:szCs w:val="24"/>
        </w:rPr>
        <w:t xml:space="preserve">The social bond theory which is also </w:t>
      </w:r>
      <w:r>
        <w:rPr>
          <w:szCs w:val="24"/>
        </w:rPr>
        <w:t>referred</w:t>
      </w:r>
      <w:r>
        <w:rPr>
          <w:szCs w:val="24"/>
        </w:rPr>
        <w:t xml:space="preserve"> to as social control theory was created by Travis Hirschi and </w:t>
      </w:r>
      <w:r>
        <w:rPr>
          <w:szCs w:val="24"/>
        </w:rPr>
        <w:t xml:space="preserve">it explains that social crimes and delinquencies occur due to existence of weak social bonds. </w:t>
      </w:r>
      <w:r>
        <w:rPr>
          <w:szCs w:val="24"/>
        </w:rPr>
        <w:t xml:space="preserve">The theory states that individuals do have potential to commit crime but the social bonds they have </w:t>
      </w:r>
      <w:r>
        <w:rPr>
          <w:szCs w:val="24"/>
        </w:rPr>
        <w:t>prevent them from doing so. These social bonds may be spiritual connections, family attachments</w:t>
      </w:r>
      <w:r>
        <w:rPr>
          <w:szCs w:val="24"/>
        </w:rPr>
        <w:t>, commitments</w:t>
      </w:r>
      <w:r>
        <w:rPr>
          <w:szCs w:val="24"/>
        </w:rPr>
        <w:t xml:space="preserve"> as well as relationships with others in the society.</w:t>
      </w:r>
      <w:r>
        <w:rPr>
          <w:szCs w:val="24"/>
        </w:rPr>
        <w:t xml:space="preserve"> An article by Salvatore and Rubin adopts the theory in trying to describe criminal behavior among emerging adults. </w:t>
      </w:r>
      <w:r>
        <w:rPr>
          <w:szCs w:val="24"/>
        </w:rPr>
        <w:t xml:space="preserve">An article on ‘the functions of the social bond’ by </w:t>
      </w:r>
      <w:r>
        <w:rPr>
          <w:szCs w:val="24"/>
        </w:rPr>
        <w:t>Chriss</w:t>
      </w:r>
      <w:r>
        <w:rPr>
          <w:szCs w:val="24"/>
        </w:rPr>
        <w:t xml:space="preserve"> (2016)</w:t>
      </w:r>
      <w:r>
        <w:rPr>
          <w:szCs w:val="24"/>
        </w:rPr>
        <w:t xml:space="preserve"> </w:t>
      </w:r>
      <w:r>
        <w:rPr>
          <w:szCs w:val="24"/>
        </w:rPr>
        <w:t xml:space="preserve">also examines the incorporations theory with a self-control context. </w:t>
      </w:r>
      <w:r>
        <w:rPr>
          <w:szCs w:val="24"/>
        </w:rPr>
        <w:t>In the information security articles like ‘</w:t>
      </w:r>
      <w:r>
        <w:rPr>
          <w:color w:val="222222"/>
          <w:szCs w:val="24"/>
          <w:shd w:val="clear" w:color="auto" w:fill="ffffff"/>
        </w:rPr>
        <w:t>Information security policy compliance model in organizations. computers &amp; security’</w:t>
      </w:r>
      <w:r>
        <w:rPr>
          <w:szCs w:val="24"/>
        </w:rPr>
        <w:t>, the theory is used to understand deviant behaviors exhibited by employees.</w:t>
      </w:r>
      <w:r>
        <w:rPr>
          <w:szCs w:val="24"/>
        </w:rPr>
        <w:t xml:space="preserve"> From the perspective of this study, the theory will help to </w:t>
      </w:r>
      <w:r>
        <w:rPr>
          <w:szCs w:val="24"/>
        </w:rPr>
        <w:t>analyze</w:t>
      </w:r>
      <w:r>
        <w:rPr>
          <w:szCs w:val="24"/>
        </w:rPr>
        <w:t xml:space="preserve"> findings and literature on how social bonds among juveniles </w:t>
      </w:r>
      <w:r>
        <w:rPr>
          <w:szCs w:val="24"/>
        </w:rPr>
        <w:t>may lead to portrayal of deviant behaviors like underage drinking. The study will also incorporate the theory into the field of religion</w:t>
      </w:r>
      <w:r>
        <w:rPr>
          <w:szCs w:val="24"/>
        </w:rPr>
        <w:t>,</w:t>
      </w:r>
      <w:r>
        <w:rPr>
          <w:szCs w:val="24"/>
        </w:rPr>
        <w:t xml:space="preserve"> as practices in religion have been determined as </w:t>
      </w:r>
      <w:r>
        <w:rPr>
          <w:szCs w:val="24"/>
        </w:rPr>
        <w:t>sources of social bonds.</w:t>
      </w:r>
    </w:p>
    <w:p>
      <w:pPr>
        <w:pStyle w:val="style0"/>
        <w:spacing w:after="0" w:lineRule="auto" w:line="480"/>
        <w:jc w:val="left"/>
        <w:rPr>
          <w:b/>
          <w:szCs w:val="24"/>
        </w:rPr>
      </w:pPr>
      <w:r>
        <w:rPr>
          <w:b/>
          <w:szCs w:val="24"/>
        </w:rPr>
        <w:t>METHODS</w:t>
      </w:r>
    </w:p>
    <w:p>
      <w:pPr>
        <w:pStyle w:val="style0"/>
        <w:spacing w:after="0" w:lineRule="auto" w:line="480"/>
        <w:jc w:val="left"/>
        <w:rPr>
          <w:szCs w:val="24"/>
        </w:rPr>
      </w:pPr>
      <w:r>
        <w:rPr>
          <w:szCs w:val="24"/>
        </w:rPr>
        <w:t>This chapter will focus</w:t>
      </w:r>
      <w:r>
        <w:rPr>
          <w:szCs w:val="24"/>
        </w:rPr>
        <w:t xml:space="preserve"> developing</w:t>
      </w:r>
      <w:r>
        <w:rPr>
          <w:szCs w:val="24"/>
        </w:rPr>
        <w:t xml:space="preserve"> the hypothese</w:t>
      </w:r>
      <w:r>
        <w:rPr>
          <w:szCs w:val="24"/>
        </w:rPr>
        <w:t>s of the research</w:t>
      </w:r>
      <w:r>
        <w:rPr>
          <w:szCs w:val="24"/>
        </w:rPr>
        <w:t xml:space="preserve"> well as</w:t>
      </w:r>
      <w:r>
        <w:rPr>
          <w:szCs w:val="24"/>
        </w:rPr>
        <w:t xml:space="preserve"> the study design to be adopted by the research. Additionally, </w:t>
      </w:r>
      <w:r>
        <w:rPr>
          <w:szCs w:val="24"/>
        </w:rPr>
        <w:t>the strengths and importance of using a survey will be outlined together with dependent and independent variables.</w:t>
      </w:r>
      <w:r>
        <w:rPr>
          <w:szCs w:val="24"/>
        </w:rPr>
        <w:t xml:space="preserve"> Lastly, it will encompass conceptualization and operationalization of religiosity, theories and status offenses.</w:t>
      </w:r>
    </w:p>
    <w:p>
      <w:pPr>
        <w:pStyle w:val="style0"/>
        <w:spacing w:after="0" w:lineRule="auto" w:line="480"/>
        <w:jc w:val="left"/>
        <w:rPr>
          <w:b/>
          <w:szCs w:val="24"/>
        </w:rPr>
      </w:pPr>
      <w:r>
        <w:rPr>
          <w:b/>
          <w:szCs w:val="24"/>
        </w:rPr>
        <w:t>Hypotheses</w:t>
      </w:r>
    </w:p>
    <w:p>
      <w:pPr>
        <w:pStyle w:val="style0"/>
        <w:spacing w:after="0" w:lineRule="auto" w:line="480"/>
        <w:jc w:val="left"/>
        <w:rPr>
          <w:szCs w:val="24"/>
        </w:rPr>
      </w:pPr>
      <w:r>
        <w:rPr>
          <w:szCs w:val="24"/>
        </w:rPr>
        <w:t>Hypotheses related to social disorganization theory include:</w:t>
      </w:r>
    </w:p>
    <w:p>
      <w:pPr>
        <w:pStyle w:val="style179"/>
        <w:numPr>
          <w:ilvl w:val="0"/>
          <w:numId w:val="8"/>
        </w:numPr>
        <w:spacing w:after="0" w:lineRule="auto" w:line="480"/>
        <w:ind w:left="0" w:firstLine="0"/>
        <w:jc w:val="left"/>
        <w:rPr>
          <w:szCs w:val="24"/>
        </w:rPr>
      </w:pPr>
      <w:r>
        <w:rPr>
          <w:szCs w:val="24"/>
        </w:rPr>
        <w:t>There is no significant relationship between religion and social disorganization theory</w:t>
      </w:r>
    </w:p>
    <w:p>
      <w:pPr>
        <w:pStyle w:val="style179"/>
        <w:numPr>
          <w:ilvl w:val="0"/>
          <w:numId w:val="8"/>
        </w:numPr>
        <w:spacing w:after="0" w:lineRule="auto" w:line="480"/>
        <w:ind w:left="0" w:firstLine="0"/>
        <w:jc w:val="left"/>
        <w:rPr>
          <w:szCs w:val="24"/>
        </w:rPr>
      </w:pPr>
      <w:r>
        <w:rPr>
          <w:szCs w:val="24"/>
        </w:rPr>
        <w:t>The geographical location of individuals characterizes their behavior</w:t>
      </w:r>
    </w:p>
    <w:p>
      <w:pPr>
        <w:pStyle w:val="style179"/>
        <w:numPr>
          <w:ilvl w:val="0"/>
          <w:numId w:val="8"/>
        </w:numPr>
        <w:spacing w:after="0" w:lineRule="auto" w:line="480"/>
        <w:ind w:left="0" w:firstLine="0"/>
        <w:jc w:val="left"/>
        <w:rPr>
          <w:szCs w:val="24"/>
        </w:rPr>
      </w:pPr>
      <w:r>
        <w:rPr>
          <w:szCs w:val="24"/>
        </w:rPr>
        <w:t>There is a significant relationship between the location of individuals and status offenses</w:t>
      </w:r>
    </w:p>
    <w:p>
      <w:pPr>
        <w:pStyle w:val="style179"/>
        <w:numPr>
          <w:ilvl w:val="0"/>
          <w:numId w:val="8"/>
        </w:numPr>
        <w:spacing w:after="0" w:lineRule="auto" w:line="480"/>
        <w:ind w:left="0" w:firstLine="0"/>
        <w:jc w:val="left"/>
        <w:rPr>
          <w:szCs w:val="24"/>
        </w:rPr>
      </w:pPr>
      <w:r>
        <w:rPr>
          <w:szCs w:val="24"/>
        </w:rPr>
        <w:t>There is no relationship between religiosity and social delinquencies</w:t>
      </w:r>
    </w:p>
    <w:p>
      <w:pPr>
        <w:pStyle w:val="style179"/>
        <w:numPr>
          <w:ilvl w:val="0"/>
          <w:numId w:val="8"/>
        </w:numPr>
        <w:spacing w:after="0" w:lineRule="auto" w:line="480"/>
        <w:ind w:left="0" w:firstLine="0"/>
        <w:jc w:val="left"/>
        <w:rPr>
          <w:szCs w:val="24"/>
        </w:rPr>
      </w:pPr>
      <w:r>
        <w:rPr>
          <w:szCs w:val="24"/>
        </w:rPr>
        <w:t>There is no significant association between religiosity and drug abuse among juveniles</w:t>
      </w:r>
    </w:p>
    <w:p>
      <w:pPr>
        <w:pStyle w:val="style0"/>
        <w:spacing w:after="0" w:lineRule="auto" w:line="480"/>
        <w:jc w:val="left"/>
        <w:rPr>
          <w:szCs w:val="24"/>
        </w:rPr>
      </w:pPr>
      <w:r>
        <w:rPr>
          <w:szCs w:val="24"/>
        </w:rPr>
        <w:t>Hypothesis related to social bond theory;</w:t>
      </w:r>
    </w:p>
    <w:p>
      <w:pPr>
        <w:pStyle w:val="style179"/>
        <w:numPr>
          <w:ilvl w:val="0"/>
          <w:numId w:val="11"/>
        </w:numPr>
        <w:spacing w:after="0" w:lineRule="auto" w:line="480"/>
        <w:ind w:left="0" w:firstLine="0"/>
        <w:jc w:val="left"/>
        <w:rPr>
          <w:szCs w:val="24"/>
        </w:rPr>
      </w:pPr>
      <w:r>
        <w:rPr>
          <w:szCs w:val="24"/>
        </w:rPr>
        <w:t>There is no significance between status offenses and social bonds</w:t>
      </w:r>
    </w:p>
    <w:p>
      <w:pPr>
        <w:pStyle w:val="style179"/>
        <w:numPr>
          <w:ilvl w:val="0"/>
          <w:numId w:val="11"/>
        </w:numPr>
        <w:spacing w:after="0" w:lineRule="auto" w:line="480"/>
        <w:ind w:left="0" w:firstLine="0"/>
        <w:jc w:val="left"/>
        <w:rPr>
          <w:szCs w:val="24"/>
        </w:rPr>
      </w:pPr>
      <w:r>
        <w:rPr>
          <w:szCs w:val="24"/>
        </w:rPr>
        <w:t xml:space="preserve">There is a significant relationship between </w:t>
      </w:r>
      <w:r>
        <w:rPr>
          <w:szCs w:val="24"/>
        </w:rPr>
        <w:t>deviant behaviors and social connections</w:t>
      </w:r>
    </w:p>
    <w:p>
      <w:pPr>
        <w:pStyle w:val="style179"/>
        <w:numPr>
          <w:ilvl w:val="0"/>
          <w:numId w:val="11"/>
        </w:numPr>
        <w:spacing w:after="0" w:lineRule="auto" w:line="480"/>
        <w:ind w:left="0" w:firstLine="0"/>
        <w:jc w:val="left"/>
        <w:rPr>
          <w:szCs w:val="24"/>
        </w:rPr>
      </w:pPr>
      <w:r>
        <w:rPr>
          <w:szCs w:val="24"/>
        </w:rPr>
        <w:t>There is no relationship between religiosity and creation of bonds in the society</w:t>
      </w:r>
    </w:p>
    <w:p>
      <w:pPr>
        <w:pStyle w:val="style179"/>
        <w:numPr>
          <w:ilvl w:val="0"/>
          <w:numId w:val="11"/>
        </w:numPr>
        <w:spacing w:after="0" w:lineRule="auto" w:line="480"/>
        <w:ind w:left="0" w:firstLine="0"/>
        <w:jc w:val="left"/>
        <w:rPr>
          <w:szCs w:val="24"/>
        </w:rPr>
      </w:pPr>
      <w:r>
        <w:rPr>
          <w:szCs w:val="24"/>
        </w:rPr>
        <w:t xml:space="preserve">There is no significant relationship between </w:t>
      </w:r>
      <w:r>
        <w:rPr>
          <w:szCs w:val="24"/>
        </w:rPr>
        <w:t>religion and the practice of deviant behaviors</w:t>
      </w:r>
    </w:p>
    <w:p>
      <w:pPr>
        <w:pStyle w:val="style179"/>
        <w:numPr>
          <w:ilvl w:val="0"/>
          <w:numId w:val="11"/>
        </w:numPr>
        <w:spacing w:after="0" w:lineRule="auto" w:line="480"/>
        <w:ind w:left="0" w:firstLine="0"/>
        <w:jc w:val="left"/>
        <w:rPr>
          <w:szCs w:val="24"/>
        </w:rPr>
      </w:pPr>
      <w:r>
        <w:rPr>
          <w:szCs w:val="24"/>
        </w:rPr>
        <w:t xml:space="preserve">There is a relationship </w:t>
      </w:r>
      <w:r>
        <w:rPr>
          <w:szCs w:val="24"/>
        </w:rPr>
        <w:t xml:space="preserve">between religion and </w:t>
      </w:r>
      <w:r>
        <w:rPr>
          <w:szCs w:val="24"/>
        </w:rPr>
        <w:t xml:space="preserve">the </w:t>
      </w:r>
      <w:r>
        <w:rPr>
          <w:szCs w:val="24"/>
        </w:rPr>
        <w:t>adaptation</w:t>
      </w:r>
      <w:r>
        <w:rPr>
          <w:szCs w:val="24"/>
        </w:rPr>
        <w:t xml:space="preserve"> of social connections</w:t>
      </w:r>
    </w:p>
    <w:p>
      <w:pPr>
        <w:pStyle w:val="style0"/>
        <w:spacing w:after="0" w:lineRule="auto" w:line="480"/>
        <w:jc w:val="left"/>
        <w:rPr>
          <w:b/>
          <w:szCs w:val="24"/>
        </w:rPr>
      </w:pPr>
      <w:r>
        <w:rPr>
          <w:b/>
          <w:szCs w:val="24"/>
        </w:rPr>
        <w:t>Study Design</w:t>
      </w:r>
    </w:p>
    <w:p>
      <w:pPr>
        <w:pStyle w:val="style0"/>
        <w:spacing w:after="0" w:lineRule="auto" w:line="480"/>
        <w:jc w:val="left"/>
        <w:rPr>
          <w:szCs w:val="24"/>
        </w:rPr>
      </w:pPr>
      <w:r>
        <w:rPr>
          <w:szCs w:val="24"/>
        </w:rPr>
        <w:t xml:space="preserve">The study will adopt a descriptive survey design as it is convenient in collection of substantial number of views from respondents over a large area. The target population of the study will be juveniles from different geographical locations </w:t>
      </w:r>
      <w:r>
        <w:rPr>
          <w:szCs w:val="24"/>
        </w:rPr>
        <w:t xml:space="preserve">and institutions. </w:t>
      </w:r>
      <w:r>
        <w:rPr>
          <w:szCs w:val="24"/>
        </w:rPr>
        <w:t>Simple random sampling will be used to acquire a sample size that is representative of the population.</w:t>
      </w:r>
      <w:r>
        <w:rPr>
          <w:szCs w:val="24"/>
        </w:rPr>
        <w:t xml:space="preserve"> Some strengths of</w:t>
      </w:r>
      <w:r>
        <w:rPr>
          <w:szCs w:val="24"/>
        </w:rPr>
        <w:t xml:space="preserve"> survey design </w:t>
      </w:r>
      <w:r>
        <w:rPr>
          <w:szCs w:val="24"/>
        </w:rPr>
        <w:t xml:space="preserve">are that it’s easy to administer, saves on time and huge ranges of data can be collected. On the contrary, its weaknesses include; </w:t>
      </w:r>
      <w:r>
        <w:rPr>
          <w:szCs w:val="24"/>
        </w:rPr>
        <w:t xml:space="preserve">respondents may be dishonest as well as low validity due to closed ended questions. </w:t>
      </w:r>
      <w:r>
        <w:rPr>
          <w:szCs w:val="24"/>
        </w:rPr>
        <w:t>The independent variables are; Religion, social attachments, peer commitment, general beliefs. D</w:t>
      </w:r>
      <w:r>
        <w:rPr>
          <w:szCs w:val="24"/>
        </w:rPr>
        <w:t xml:space="preserve">ependent variables are; </w:t>
      </w:r>
      <w:r>
        <w:rPr>
          <w:szCs w:val="24"/>
        </w:rPr>
        <w:t>underage drinking, curfew violations, juvenile drug use and running away.</w:t>
      </w:r>
    </w:p>
    <w:p>
      <w:pPr>
        <w:pStyle w:val="style0"/>
        <w:spacing w:after="0" w:lineRule="auto" w:line="480"/>
        <w:jc w:val="left"/>
        <w:rPr>
          <w:b/>
          <w:szCs w:val="24"/>
        </w:rPr>
      </w:pPr>
      <w:r>
        <w:rPr>
          <w:b/>
          <w:szCs w:val="24"/>
        </w:rPr>
        <w:t>Conceptualization and operationalization</w:t>
      </w:r>
    </w:p>
    <w:p>
      <w:pPr>
        <w:pStyle w:val="style0"/>
        <w:spacing w:after="0" w:lineRule="auto" w:line="480"/>
        <w:jc w:val="left"/>
        <w:rPr>
          <w:szCs w:val="24"/>
        </w:rPr>
      </w:pPr>
      <w:r>
        <w:rPr>
          <w:szCs w:val="24"/>
        </w:rPr>
        <w:t xml:space="preserve">Religiosity is defined as the extent to which an individual believes in god, founder, supreme being and the practice that relate to the teachings. </w:t>
      </w:r>
    </w:p>
    <w:p>
      <w:pPr>
        <w:pStyle w:val="style0"/>
        <w:spacing w:after="0" w:lineRule="auto" w:line="480"/>
        <w:jc w:val="left"/>
        <w:rPr>
          <w:szCs w:val="24"/>
        </w:rPr>
      </w:pPr>
      <w:r>
        <w:rPr>
          <w:szCs w:val="24"/>
        </w:rPr>
        <w:t xml:space="preserve">Status offenses refer to activities that are termed as offences when they are committed by juveniles. </w:t>
      </w:r>
    </w:p>
    <w:p>
      <w:pPr>
        <w:pStyle w:val="style0"/>
        <w:spacing w:after="0" w:lineRule="auto" w:line="480"/>
        <w:jc w:val="left"/>
        <w:rPr>
          <w:szCs w:val="24"/>
        </w:rPr>
      </w:pPr>
      <w:r>
        <w:rPr>
          <w:szCs w:val="24"/>
        </w:rPr>
        <w:t xml:space="preserve">The social disorganization theory is one that states that an individual’s residential location </w:t>
      </w:r>
      <w:r>
        <w:rPr>
          <w:szCs w:val="24"/>
        </w:rPr>
        <w:t xml:space="preserve">is important is determining whether the person might be involved in illegal activities. </w:t>
      </w:r>
    </w:p>
    <w:p>
      <w:pPr>
        <w:pStyle w:val="style0"/>
        <w:spacing w:after="0" w:lineRule="auto" w:line="480"/>
        <w:jc w:val="left"/>
        <w:rPr>
          <w:szCs w:val="24"/>
        </w:rPr>
      </w:pPr>
      <w:r>
        <w:rPr>
          <w:szCs w:val="24"/>
        </w:rPr>
        <w:t xml:space="preserve">Social bond theory </w:t>
      </w:r>
      <w:r>
        <w:rPr>
          <w:szCs w:val="24"/>
        </w:rPr>
        <w:t>explains that weak elements of social bonds are responsible for making people to engage in illegal activities</w:t>
      </w:r>
    </w:p>
    <w:p>
      <w:pPr>
        <w:pStyle w:val="style0"/>
        <w:spacing w:after="0" w:lineRule="auto" w:line="480"/>
        <w:jc w:val="left"/>
        <w:rPr>
          <w:szCs w:val="24"/>
        </w:rPr>
      </w:pPr>
      <w:r>
        <w:rPr>
          <w:szCs w:val="24"/>
        </w:rPr>
        <w:t>For operationalization, the instruments will be located in appendixes A-D. They will be used to make observations and collect data that is of relevance to the study.</w:t>
      </w:r>
    </w:p>
    <w:p>
      <w:pPr>
        <w:pStyle w:val="style0"/>
        <w:spacing w:after="0" w:lineRule="auto" w:line="480"/>
        <w:jc w:val="left"/>
        <w:rPr>
          <w:szCs w:val="24"/>
        </w:rPr>
      </w:pPr>
      <w:r>
        <w:rPr>
          <w:b/>
          <w:szCs w:val="24"/>
        </w:rPr>
        <w:t>Conclusion</w:t>
      </w:r>
    </w:p>
    <w:p>
      <w:pPr>
        <w:pStyle w:val="style0"/>
        <w:spacing w:after="0" w:lineRule="auto" w:line="480"/>
        <w:jc w:val="left"/>
        <w:rPr>
          <w:szCs w:val="24"/>
        </w:rPr>
      </w:pPr>
      <w:r>
        <w:rPr>
          <w:szCs w:val="24"/>
        </w:rPr>
        <w:t xml:space="preserve">In conclusion, status offenses </w:t>
      </w:r>
      <w:r>
        <w:rPr>
          <w:szCs w:val="24"/>
        </w:rPr>
        <w:t>are</w:t>
      </w:r>
      <w:r>
        <w:rPr>
          <w:szCs w:val="24"/>
        </w:rPr>
        <w:t xml:space="preserve"> an important area to study </w:t>
      </w:r>
      <w:r>
        <w:rPr>
          <w:szCs w:val="24"/>
        </w:rPr>
        <w:t xml:space="preserve">it encompasses an average of 20% of all juvenile arrests. </w:t>
      </w:r>
      <w:r>
        <w:rPr>
          <w:szCs w:val="24"/>
        </w:rPr>
        <w:t xml:space="preserve">Studying about them can provide information to prevent youths from engaging in future criminal offenses. </w:t>
      </w:r>
      <w:r>
        <w:rPr>
          <w:szCs w:val="24"/>
        </w:rPr>
        <w:t xml:space="preserve">The area of religion is an </w:t>
      </w:r>
      <w:r>
        <w:rPr>
          <w:szCs w:val="24"/>
        </w:rPr>
        <w:t>important correlate of crime as religious practices and beliefs have all been identified to have possible impacts towards crime rates.</w:t>
      </w:r>
      <w:r>
        <w:rPr>
          <w:szCs w:val="24"/>
        </w:rPr>
        <w:t xml:space="preserve"> From the findings, there is a notable gap in terms of theories that encompass the correlation between </w:t>
      </w:r>
      <w:r>
        <w:rPr>
          <w:szCs w:val="24"/>
        </w:rPr>
        <w:t>crime and religion. Further developments should expand to include religion in theories.</w:t>
      </w:r>
    </w:p>
    <w:p>
      <w:pPr>
        <w:pStyle w:val="style0"/>
        <w:rPr>
          <w:b/>
          <w:szCs w:val="24"/>
        </w:rPr>
      </w:pPr>
      <w:r>
        <w:rPr>
          <w:b/>
          <w:szCs w:val="24"/>
        </w:rPr>
        <w:br w:type="page"/>
      </w:r>
    </w:p>
    <w:bookmarkStart w:id="0" w:name="_GoBack"/>
    <w:bookmarkEnd w:id="0"/>
    <w:p>
      <w:pPr>
        <w:pStyle w:val="style0"/>
        <w:spacing w:after="0" w:lineRule="auto" w:line="480"/>
        <w:jc w:val="center"/>
        <w:rPr>
          <w:b/>
          <w:szCs w:val="24"/>
        </w:rPr>
      </w:pPr>
      <w:r>
        <w:rPr>
          <w:b/>
          <w:szCs w:val="24"/>
        </w:rPr>
        <w:t>APPENDIX: SURVEYS</w:t>
      </w:r>
    </w:p>
    <w:p>
      <w:pPr>
        <w:pStyle w:val="style0"/>
        <w:spacing w:after="0" w:lineRule="auto" w:line="480"/>
        <w:jc w:val="left"/>
        <w:rPr>
          <w:b/>
          <w:szCs w:val="24"/>
        </w:rPr>
      </w:pPr>
      <w:r>
        <w:rPr>
          <w:b/>
          <w:szCs w:val="24"/>
        </w:rPr>
        <w:t>Appendix A: Demographic Questions</w:t>
      </w:r>
    </w:p>
    <w:p>
      <w:pPr>
        <w:pStyle w:val="style0"/>
        <w:spacing w:after="0" w:lineRule="auto" w:line="480"/>
        <w:jc w:val="left"/>
        <w:rPr>
          <w:b/>
          <w:szCs w:val="24"/>
        </w:rPr>
      </w:pPr>
      <w:r>
        <w:rPr>
          <w:szCs w:val="24"/>
        </w:rPr>
        <w:t>1.</w:t>
      </w:r>
      <w:r>
        <w:rPr>
          <w:szCs w:val="24"/>
        </w:rPr>
        <w:t>What is your age</w:t>
      </w:r>
      <w:r>
        <w:rPr>
          <w:szCs w:val="24"/>
        </w:rPr>
        <w:t xml:space="preserve">? </w:t>
      </w:r>
    </w:p>
    <w:p>
      <w:pPr>
        <w:pStyle w:val="style0"/>
        <w:spacing w:after="0" w:lineRule="auto" w:line="480"/>
        <w:jc w:val="left"/>
        <w:rPr>
          <w:b/>
          <w:szCs w:val="24"/>
        </w:rPr>
      </w:pPr>
      <w:r>
        <w:rPr>
          <w:szCs w:val="24"/>
        </w:rPr>
        <w:t>a) Below 10 b)10 – 14 c) 14-17</w:t>
      </w:r>
    </w:p>
    <w:p>
      <w:pPr>
        <w:pStyle w:val="style0"/>
        <w:spacing w:after="0" w:lineRule="auto" w:line="480"/>
        <w:jc w:val="left"/>
        <w:rPr>
          <w:szCs w:val="24"/>
        </w:rPr>
      </w:pPr>
      <w:r>
        <w:rPr>
          <w:szCs w:val="24"/>
        </w:rPr>
        <w:t>2.</w:t>
      </w:r>
      <w:r>
        <w:rPr>
          <w:szCs w:val="24"/>
        </w:rPr>
        <w:t>What’s your gender</w:t>
      </w:r>
      <w:r>
        <w:rPr>
          <w:szCs w:val="24"/>
        </w:rPr>
        <w:t>?</w:t>
      </w:r>
    </w:p>
    <w:p>
      <w:pPr>
        <w:pStyle w:val="style179"/>
        <w:numPr>
          <w:ilvl w:val="0"/>
          <w:numId w:val="4"/>
        </w:numPr>
        <w:spacing w:after="0" w:lineRule="auto" w:line="480"/>
        <w:ind w:left="0" w:firstLine="0"/>
        <w:jc w:val="left"/>
        <w:rPr>
          <w:szCs w:val="24"/>
        </w:rPr>
      </w:pPr>
      <w:r>
        <w:rPr>
          <w:szCs w:val="24"/>
        </w:rPr>
        <w:t>Male b) Female</w:t>
      </w:r>
    </w:p>
    <w:p>
      <w:pPr>
        <w:pStyle w:val="style0"/>
        <w:spacing w:after="0" w:lineRule="auto" w:line="480"/>
        <w:jc w:val="left"/>
        <w:rPr>
          <w:szCs w:val="24"/>
        </w:rPr>
      </w:pPr>
      <w:r>
        <w:rPr>
          <w:szCs w:val="24"/>
        </w:rPr>
        <w:t>3.</w:t>
      </w:r>
      <w:r>
        <w:rPr>
          <w:szCs w:val="24"/>
        </w:rPr>
        <w:t>State your ethnicity</w:t>
      </w:r>
    </w:p>
    <w:p>
      <w:pPr>
        <w:pStyle w:val="style179"/>
        <w:numPr>
          <w:ilvl w:val="0"/>
          <w:numId w:val="10"/>
        </w:numPr>
        <w:spacing w:after="0" w:lineRule="auto" w:line="480"/>
        <w:ind w:left="0" w:firstLine="0"/>
        <w:jc w:val="left"/>
        <w:rPr>
          <w:szCs w:val="24"/>
        </w:rPr>
      </w:pPr>
      <w:r>
        <w:rPr>
          <w:szCs w:val="24"/>
        </w:rPr>
        <w:t>White b) Hispanic c) African American d) Asian e) Other</w:t>
      </w:r>
    </w:p>
    <w:p>
      <w:pPr>
        <w:pStyle w:val="style0"/>
        <w:spacing w:after="0" w:lineRule="auto" w:line="480"/>
        <w:jc w:val="left"/>
        <w:rPr>
          <w:szCs w:val="24"/>
        </w:rPr>
      </w:pPr>
      <w:r>
        <w:rPr>
          <w:szCs w:val="24"/>
        </w:rPr>
        <w:t>4.</w:t>
      </w:r>
      <w:r>
        <w:rPr>
          <w:szCs w:val="24"/>
        </w:rPr>
        <w:t>What grade are you in?</w:t>
      </w:r>
    </w:p>
    <w:p>
      <w:pPr>
        <w:pStyle w:val="style179"/>
        <w:numPr>
          <w:ilvl w:val="0"/>
          <w:numId w:val="9"/>
        </w:numPr>
        <w:spacing w:after="0" w:lineRule="auto" w:line="480"/>
        <w:ind w:left="0" w:firstLine="0"/>
        <w:jc w:val="left"/>
        <w:rPr>
          <w:szCs w:val="24"/>
        </w:rPr>
      </w:pPr>
      <w:r>
        <w:rPr>
          <w:szCs w:val="24"/>
        </w:rPr>
        <w:t xml:space="preserve">Below </w:t>
      </w:r>
      <w:r>
        <w:rPr>
          <w:szCs w:val="24"/>
        </w:rPr>
        <w:t>6 b) 7-9 c) 10-12</w:t>
      </w:r>
    </w:p>
    <w:p>
      <w:pPr>
        <w:pStyle w:val="style0"/>
        <w:spacing w:after="0" w:lineRule="auto" w:line="480"/>
        <w:jc w:val="left"/>
        <w:rPr>
          <w:szCs w:val="24"/>
        </w:rPr>
      </w:pPr>
      <w:r>
        <w:rPr>
          <w:szCs w:val="24"/>
        </w:rPr>
        <w:t>5.</w:t>
      </w:r>
      <w:r>
        <w:rPr>
          <w:szCs w:val="24"/>
        </w:rPr>
        <w:t>Are you employed?</w:t>
      </w:r>
    </w:p>
    <w:p>
      <w:pPr>
        <w:pStyle w:val="style179"/>
        <w:numPr>
          <w:ilvl w:val="0"/>
          <w:numId w:val="1"/>
        </w:numPr>
        <w:spacing w:after="0" w:lineRule="auto" w:line="480"/>
        <w:ind w:left="0" w:firstLine="0"/>
        <w:jc w:val="left"/>
        <w:rPr>
          <w:szCs w:val="24"/>
        </w:rPr>
      </w:pPr>
      <w:r>
        <w:rPr>
          <w:szCs w:val="24"/>
        </w:rPr>
        <w:t>Yes b) No</w:t>
      </w:r>
    </w:p>
    <w:p>
      <w:pPr>
        <w:pStyle w:val="style0"/>
        <w:spacing w:after="0" w:lineRule="auto" w:line="480"/>
        <w:jc w:val="left"/>
        <w:rPr>
          <w:szCs w:val="24"/>
        </w:rPr>
      </w:pPr>
      <w:r>
        <w:rPr>
          <w:szCs w:val="24"/>
        </w:rPr>
        <w:t>6.</w:t>
      </w:r>
      <w:r>
        <w:rPr>
          <w:szCs w:val="24"/>
        </w:rPr>
        <w:t>What is your area code?</w:t>
      </w:r>
    </w:p>
    <w:p>
      <w:pPr>
        <w:pStyle w:val="style0"/>
        <w:spacing w:after="0" w:lineRule="auto" w:line="480"/>
        <w:jc w:val="left"/>
        <w:rPr>
          <w:szCs w:val="24"/>
        </w:rPr>
      </w:pPr>
      <w:r>
        <w:rPr>
          <w:szCs w:val="24"/>
        </w:rPr>
        <w:t>7.</w:t>
      </w:r>
      <w:r>
        <w:rPr>
          <w:szCs w:val="24"/>
        </w:rPr>
        <w:t>How many siblings do you have</w:t>
      </w:r>
      <w:r>
        <w:rPr>
          <w:szCs w:val="24"/>
        </w:rPr>
        <w:t>?</w:t>
      </w:r>
    </w:p>
    <w:p>
      <w:pPr>
        <w:pStyle w:val="style179"/>
        <w:numPr>
          <w:ilvl w:val="0"/>
          <w:numId w:val="2"/>
        </w:numPr>
        <w:spacing w:after="0" w:lineRule="auto" w:line="480"/>
        <w:ind w:left="0" w:firstLine="0"/>
        <w:jc w:val="left"/>
        <w:rPr>
          <w:szCs w:val="24"/>
        </w:rPr>
      </w:pPr>
      <w:r>
        <w:rPr>
          <w:szCs w:val="24"/>
        </w:rPr>
        <w:t>None b) 1-3 c) 4-6 d) above 6</w:t>
      </w:r>
    </w:p>
    <w:p>
      <w:pPr>
        <w:pStyle w:val="style0"/>
        <w:spacing w:after="0" w:lineRule="auto" w:line="480"/>
        <w:jc w:val="left"/>
        <w:rPr>
          <w:szCs w:val="24"/>
        </w:rPr>
      </w:pPr>
      <w:r>
        <w:rPr>
          <w:szCs w:val="24"/>
        </w:rPr>
        <w:t>8.</w:t>
      </w:r>
      <w:r>
        <w:rPr>
          <w:szCs w:val="24"/>
        </w:rPr>
        <w:t>Are you in a relationship?</w:t>
      </w:r>
    </w:p>
    <w:p>
      <w:pPr>
        <w:pStyle w:val="style0"/>
        <w:spacing w:after="0" w:lineRule="auto" w:line="480"/>
        <w:jc w:val="left"/>
        <w:rPr>
          <w:szCs w:val="24"/>
        </w:rPr>
      </w:pPr>
      <w:r>
        <w:rPr>
          <w:szCs w:val="24"/>
        </w:rPr>
        <w:t xml:space="preserve"> a) yes b) No</w:t>
      </w:r>
    </w:p>
    <w:p>
      <w:pPr>
        <w:pStyle w:val="style0"/>
        <w:spacing w:after="0" w:lineRule="auto" w:line="480"/>
        <w:jc w:val="left"/>
        <w:rPr>
          <w:szCs w:val="24"/>
        </w:rPr>
      </w:pPr>
      <w:r>
        <w:rPr>
          <w:szCs w:val="24"/>
        </w:rPr>
        <w:t>9.</w:t>
      </w:r>
      <w:r>
        <w:rPr>
          <w:szCs w:val="24"/>
        </w:rPr>
        <w:t>What is your marital status?</w:t>
      </w:r>
    </w:p>
    <w:p>
      <w:pPr>
        <w:pStyle w:val="style179"/>
        <w:numPr>
          <w:ilvl w:val="0"/>
          <w:numId w:val="3"/>
        </w:numPr>
        <w:spacing w:after="0" w:lineRule="auto" w:line="480"/>
        <w:ind w:left="0" w:firstLine="0"/>
        <w:jc w:val="left"/>
        <w:rPr>
          <w:szCs w:val="24"/>
        </w:rPr>
      </w:pPr>
      <w:r>
        <w:rPr>
          <w:szCs w:val="24"/>
        </w:rPr>
        <w:t>Single b) married c) divorced</w:t>
      </w:r>
    </w:p>
    <w:p>
      <w:pPr>
        <w:pStyle w:val="style0"/>
        <w:spacing w:after="0" w:lineRule="auto" w:line="480"/>
        <w:jc w:val="left"/>
        <w:rPr>
          <w:szCs w:val="24"/>
        </w:rPr>
      </w:pPr>
      <w:r>
        <w:rPr>
          <w:szCs w:val="24"/>
        </w:rPr>
        <w:t>10.</w:t>
      </w:r>
      <w:r>
        <w:rPr>
          <w:szCs w:val="24"/>
        </w:rPr>
        <w:t>What is your family income? (dollars)</w:t>
      </w:r>
    </w:p>
    <w:p>
      <w:pPr>
        <w:pStyle w:val="style179"/>
        <w:numPr>
          <w:ilvl w:val="0"/>
          <w:numId w:val="7"/>
        </w:numPr>
        <w:spacing w:after="0" w:lineRule="auto" w:line="480"/>
        <w:ind w:left="0" w:firstLine="0"/>
        <w:jc w:val="left"/>
        <w:rPr>
          <w:szCs w:val="24"/>
        </w:rPr>
      </w:pPr>
      <w:r>
        <w:rPr>
          <w:szCs w:val="24"/>
        </w:rPr>
        <w:t>Below 10</w:t>
      </w:r>
      <w:r>
        <w:rPr>
          <w:szCs w:val="24"/>
        </w:rPr>
        <w:t>k b</w:t>
      </w:r>
      <w:r>
        <w:rPr>
          <w:szCs w:val="24"/>
        </w:rPr>
        <w:t>) 10k-50k c) Above 50k</w:t>
      </w:r>
    </w:p>
    <w:p>
      <w:pPr>
        <w:pStyle w:val="style179"/>
        <w:spacing w:after="0" w:lineRule="auto" w:line="480"/>
        <w:ind w:left="0"/>
        <w:jc w:val="left"/>
        <w:rPr>
          <w:szCs w:val="24"/>
        </w:rPr>
      </w:pPr>
    </w:p>
    <w:p>
      <w:pPr>
        <w:pStyle w:val="style0"/>
        <w:spacing w:after="0" w:lineRule="auto" w:line="480"/>
        <w:jc w:val="left"/>
        <w:rPr>
          <w:b/>
          <w:szCs w:val="24"/>
        </w:rPr>
      </w:pPr>
      <w:r>
        <w:rPr>
          <w:b/>
          <w:szCs w:val="24"/>
        </w:rPr>
        <w:t>Appendix B: Religiosity</w:t>
      </w:r>
    </w:p>
    <w:p>
      <w:pPr>
        <w:pStyle w:val="style179"/>
        <w:spacing w:after="0" w:lineRule="auto" w:line="480"/>
        <w:ind w:left="0"/>
        <w:jc w:val="left"/>
        <w:rPr>
          <w:szCs w:val="24"/>
        </w:rPr>
      </w:pPr>
      <w:r>
        <w:rPr>
          <w:szCs w:val="24"/>
        </w:rPr>
        <w:t>1.</w:t>
      </w:r>
      <w:r>
        <w:rPr>
          <w:szCs w:val="24"/>
        </w:rPr>
        <w:t>Do you believe in god?</w:t>
      </w:r>
    </w:p>
    <w:p>
      <w:pPr>
        <w:pStyle w:val="style179"/>
        <w:spacing w:after="0" w:lineRule="auto" w:line="480"/>
        <w:ind w:left="0"/>
        <w:jc w:val="left"/>
        <w:rPr>
          <w:szCs w:val="24"/>
        </w:rPr>
      </w:pPr>
      <w:r>
        <w:rPr>
          <w:szCs w:val="24"/>
        </w:rPr>
        <w:t>2.</w:t>
      </w:r>
      <w:r>
        <w:rPr>
          <w:szCs w:val="24"/>
        </w:rPr>
        <w:t>How often do you attend religious services?</w:t>
      </w:r>
    </w:p>
    <w:p>
      <w:pPr>
        <w:pStyle w:val="style179"/>
        <w:spacing w:after="0" w:lineRule="auto" w:line="480"/>
        <w:ind w:left="0"/>
        <w:jc w:val="left"/>
        <w:rPr>
          <w:szCs w:val="24"/>
        </w:rPr>
      </w:pPr>
      <w:r>
        <w:rPr>
          <w:szCs w:val="24"/>
        </w:rPr>
        <w:t>3.</w:t>
      </w:r>
      <w:r>
        <w:rPr>
          <w:szCs w:val="24"/>
        </w:rPr>
        <w:t>Were you born into your current religion or did you convert?</w:t>
      </w:r>
    </w:p>
    <w:p>
      <w:pPr>
        <w:pStyle w:val="style179"/>
        <w:spacing w:after="0" w:lineRule="auto" w:line="480"/>
        <w:ind w:left="0"/>
        <w:jc w:val="left"/>
        <w:rPr>
          <w:szCs w:val="24"/>
        </w:rPr>
      </w:pPr>
      <w:r>
        <w:rPr>
          <w:szCs w:val="24"/>
        </w:rPr>
        <w:t>4.</w:t>
      </w:r>
      <w:r>
        <w:rPr>
          <w:szCs w:val="24"/>
        </w:rPr>
        <w:t>Do you believe in heaven?</w:t>
      </w:r>
    </w:p>
    <w:p>
      <w:pPr>
        <w:pStyle w:val="style179"/>
        <w:spacing w:after="0" w:lineRule="auto" w:line="480"/>
        <w:ind w:left="0"/>
        <w:jc w:val="left"/>
        <w:rPr>
          <w:szCs w:val="24"/>
        </w:rPr>
      </w:pPr>
      <w:r>
        <w:rPr>
          <w:szCs w:val="24"/>
        </w:rPr>
        <w:t>5.</w:t>
      </w:r>
      <w:r>
        <w:rPr>
          <w:szCs w:val="24"/>
        </w:rPr>
        <w:t xml:space="preserve">What does </w:t>
      </w:r>
      <w:r>
        <w:rPr>
          <w:szCs w:val="24"/>
        </w:rPr>
        <w:t>being</w:t>
      </w:r>
      <w:r>
        <w:rPr>
          <w:szCs w:val="24"/>
        </w:rPr>
        <w:t xml:space="preserve"> religious mean to you?</w:t>
      </w:r>
    </w:p>
    <w:p>
      <w:pPr>
        <w:pStyle w:val="style0"/>
        <w:spacing w:after="0" w:lineRule="auto" w:line="480"/>
        <w:jc w:val="left"/>
        <w:rPr>
          <w:b/>
          <w:szCs w:val="24"/>
        </w:rPr>
      </w:pPr>
      <w:r>
        <w:rPr>
          <w:b/>
          <w:szCs w:val="24"/>
        </w:rPr>
        <w:t>Appendix C: Theory</w:t>
      </w:r>
    </w:p>
    <w:p>
      <w:pPr>
        <w:pStyle w:val="style179"/>
        <w:spacing w:after="0" w:lineRule="auto" w:line="480"/>
        <w:ind w:left="0"/>
        <w:jc w:val="left"/>
        <w:rPr>
          <w:szCs w:val="24"/>
        </w:rPr>
      </w:pPr>
      <w:r>
        <w:rPr>
          <w:szCs w:val="24"/>
        </w:rPr>
        <w:t>Theory 1</w:t>
      </w:r>
    </w:p>
    <w:p>
      <w:pPr>
        <w:pStyle w:val="style179"/>
        <w:spacing w:after="0" w:lineRule="auto" w:line="480"/>
        <w:ind w:left="0"/>
        <w:jc w:val="left"/>
        <w:rPr>
          <w:szCs w:val="24"/>
        </w:rPr>
      </w:pPr>
      <w:r>
        <w:rPr>
          <w:szCs w:val="24"/>
        </w:rPr>
        <w:t>1.</w:t>
      </w:r>
      <w:r>
        <w:rPr>
          <w:szCs w:val="24"/>
        </w:rPr>
        <w:t>What is your geographical location?</w:t>
      </w:r>
    </w:p>
    <w:p>
      <w:pPr>
        <w:pStyle w:val="style179"/>
        <w:spacing w:after="0" w:lineRule="auto" w:line="480"/>
        <w:ind w:left="0"/>
        <w:jc w:val="left"/>
        <w:rPr>
          <w:szCs w:val="24"/>
        </w:rPr>
      </w:pPr>
      <w:r>
        <w:rPr>
          <w:szCs w:val="24"/>
        </w:rPr>
        <w:t>2.</w:t>
      </w:r>
      <w:r>
        <w:rPr>
          <w:szCs w:val="24"/>
        </w:rPr>
        <w:t>In what ways has your neighborhood affected your behavior?</w:t>
      </w:r>
    </w:p>
    <w:p>
      <w:pPr>
        <w:pStyle w:val="style179"/>
        <w:spacing w:after="0" w:lineRule="auto" w:line="480"/>
        <w:ind w:left="0"/>
        <w:jc w:val="left"/>
        <w:rPr>
          <w:szCs w:val="24"/>
        </w:rPr>
      </w:pPr>
      <w:r>
        <w:rPr>
          <w:szCs w:val="24"/>
        </w:rPr>
        <w:t>3.</w:t>
      </w:r>
      <w:r>
        <w:rPr>
          <w:szCs w:val="24"/>
        </w:rPr>
        <w:t xml:space="preserve">What are some kind of conditions that lead to </w:t>
      </w:r>
      <w:r>
        <w:rPr>
          <w:szCs w:val="24"/>
        </w:rPr>
        <w:t xml:space="preserve">involvement in illegal </w:t>
      </w:r>
      <w:r>
        <w:rPr>
          <w:szCs w:val="24"/>
        </w:rPr>
        <w:t>activities?</w:t>
      </w:r>
    </w:p>
    <w:p>
      <w:pPr>
        <w:pStyle w:val="style179"/>
        <w:spacing w:after="0" w:lineRule="auto" w:line="480"/>
        <w:ind w:left="0"/>
        <w:jc w:val="left"/>
        <w:rPr>
          <w:szCs w:val="24"/>
        </w:rPr>
      </w:pPr>
      <w:r>
        <w:rPr>
          <w:szCs w:val="24"/>
        </w:rPr>
        <w:t>4.</w:t>
      </w:r>
      <w:r>
        <w:rPr>
          <w:szCs w:val="24"/>
        </w:rPr>
        <w:t>Explain how unfavorable conditions in the community are linked to crime</w:t>
      </w:r>
    </w:p>
    <w:p>
      <w:pPr>
        <w:pStyle w:val="style179"/>
        <w:spacing w:after="0" w:lineRule="auto" w:line="480"/>
        <w:ind w:left="0"/>
        <w:jc w:val="left"/>
        <w:rPr>
          <w:szCs w:val="24"/>
        </w:rPr>
      </w:pPr>
      <w:r>
        <w:rPr>
          <w:szCs w:val="24"/>
        </w:rPr>
        <w:t>5.How does the society influence criminal behavior?</w:t>
      </w:r>
    </w:p>
    <w:p>
      <w:pPr>
        <w:pStyle w:val="style179"/>
        <w:spacing w:after="0" w:lineRule="auto" w:line="480"/>
        <w:ind w:left="0"/>
        <w:jc w:val="left"/>
        <w:rPr>
          <w:szCs w:val="24"/>
        </w:rPr>
      </w:pPr>
      <w:r>
        <w:rPr>
          <w:szCs w:val="24"/>
        </w:rPr>
        <w:t>Theory 2</w:t>
      </w:r>
    </w:p>
    <w:p>
      <w:pPr>
        <w:pStyle w:val="style179"/>
        <w:spacing w:after="0" w:lineRule="auto" w:line="480"/>
        <w:ind w:left="0"/>
        <w:jc w:val="left"/>
        <w:rPr>
          <w:szCs w:val="24"/>
        </w:rPr>
      </w:pPr>
      <w:r>
        <w:rPr>
          <w:szCs w:val="24"/>
        </w:rPr>
        <w:t>1.</w:t>
      </w:r>
      <w:r>
        <w:rPr>
          <w:szCs w:val="24"/>
        </w:rPr>
        <w:t>Describe some elements of the social bond theory?</w:t>
      </w:r>
    </w:p>
    <w:p>
      <w:pPr>
        <w:pStyle w:val="style179"/>
        <w:spacing w:after="0" w:lineRule="auto" w:line="480"/>
        <w:ind w:left="0"/>
        <w:jc w:val="left"/>
        <w:rPr>
          <w:szCs w:val="24"/>
        </w:rPr>
      </w:pPr>
      <w:r>
        <w:rPr>
          <w:szCs w:val="24"/>
        </w:rPr>
        <w:t>2.</w:t>
      </w:r>
      <w:r>
        <w:rPr>
          <w:szCs w:val="24"/>
        </w:rPr>
        <w:t xml:space="preserve">How do attachments influence </w:t>
      </w:r>
      <w:r>
        <w:rPr>
          <w:szCs w:val="24"/>
        </w:rPr>
        <w:t>involvement in illegal activities?</w:t>
      </w:r>
    </w:p>
    <w:p>
      <w:pPr>
        <w:pStyle w:val="style179"/>
        <w:spacing w:after="0" w:lineRule="auto" w:line="480"/>
        <w:ind w:left="0"/>
        <w:jc w:val="left"/>
        <w:rPr>
          <w:szCs w:val="24"/>
        </w:rPr>
      </w:pPr>
      <w:r>
        <w:rPr>
          <w:szCs w:val="24"/>
        </w:rPr>
        <w:t>3.</w:t>
      </w:r>
      <w:r>
        <w:rPr>
          <w:szCs w:val="24"/>
        </w:rPr>
        <w:t>How do commitments and relationships impact your behavior?</w:t>
      </w:r>
    </w:p>
    <w:p>
      <w:pPr>
        <w:pStyle w:val="style179"/>
        <w:spacing w:after="0" w:lineRule="auto" w:line="480"/>
        <w:ind w:left="0"/>
        <w:jc w:val="left"/>
        <w:rPr>
          <w:szCs w:val="24"/>
        </w:rPr>
      </w:pPr>
      <w:r>
        <w:rPr>
          <w:szCs w:val="24"/>
        </w:rPr>
        <w:t>4.In what ways does the social bonds prevent crime</w:t>
      </w:r>
    </w:p>
    <w:p>
      <w:pPr>
        <w:pStyle w:val="style179"/>
        <w:spacing w:after="0" w:lineRule="auto" w:line="480"/>
        <w:ind w:left="0"/>
        <w:jc w:val="left"/>
        <w:rPr>
          <w:szCs w:val="24"/>
        </w:rPr>
      </w:pPr>
      <w:r>
        <w:rPr>
          <w:szCs w:val="24"/>
        </w:rPr>
        <w:t>5.Do you believe that social attachments influence criminal activities?</w:t>
      </w:r>
    </w:p>
    <w:p>
      <w:pPr>
        <w:pStyle w:val="style0"/>
        <w:spacing w:after="0" w:lineRule="auto" w:line="480"/>
        <w:jc w:val="left"/>
        <w:rPr>
          <w:b/>
          <w:szCs w:val="24"/>
        </w:rPr>
      </w:pPr>
      <w:r>
        <w:rPr>
          <w:b/>
          <w:szCs w:val="24"/>
        </w:rPr>
        <w:t xml:space="preserve">Appendix D: </w:t>
      </w:r>
      <w:r>
        <w:rPr>
          <w:b/>
          <w:szCs w:val="24"/>
        </w:rPr>
        <w:t>Involvement in C</w:t>
      </w:r>
      <w:r>
        <w:rPr>
          <w:b/>
          <w:szCs w:val="24"/>
        </w:rPr>
        <w:t>rime</w:t>
      </w:r>
    </w:p>
    <w:p>
      <w:pPr>
        <w:pStyle w:val="style179"/>
        <w:spacing w:after="0" w:lineRule="auto" w:line="480"/>
        <w:ind w:left="0"/>
        <w:jc w:val="left"/>
        <w:rPr>
          <w:szCs w:val="24"/>
        </w:rPr>
      </w:pPr>
      <w:r>
        <w:rPr>
          <w:szCs w:val="24"/>
        </w:rPr>
        <w:t>1.</w:t>
      </w:r>
      <w:r>
        <w:rPr>
          <w:szCs w:val="24"/>
        </w:rPr>
        <w:t>Outline some of the status offenses that you have committed</w:t>
      </w:r>
    </w:p>
    <w:p>
      <w:pPr>
        <w:pStyle w:val="style179"/>
        <w:spacing w:after="0" w:lineRule="auto" w:line="480"/>
        <w:ind w:left="0"/>
        <w:jc w:val="left"/>
        <w:rPr>
          <w:szCs w:val="24"/>
        </w:rPr>
      </w:pPr>
      <w:r>
        <w:rPr>
          <w:szCs w:val="24"/>
        </w:rPr>
        <w:t>2.</w:t>
      </w:r>
      <w:r>
        <w:rPr>
          <w:szCs w:val="24"/>
        </w:rPr>
        <w:t>How often do you get involved in criminal activities?</w:t>
      </w:r>
    </w:p>
    <w:p>
      <w:pPr>
        <w:pStyle w:val="style179"/>
        <w:spacing w:after="0" w:lineRule="auto" w:line="480"/>
        <w:ind w:left="0"/>
        <w:jc w:val="left"/>
        <w:rPr>
          <w:szCs w:val="24"/>
        </w:rPr>
      </w:pPr>
      <w:r>
        <w:rPr>
          <w:szCs w:val="24"/>
        </w:rPr>
        <w:t>3.What is your opinion on the trend of juvenile arrests?</w:t>
      </w:r>
    </w:p>
    <w:p>
      <w:pPr>
        <w:pStyle w:val="style179"/>
        <w:spacing w:after="0" w:lineRule="auto" w:line="480"/>
        <w:ind w:left="0"/>
        <w:jc w:val="left"/>
        <w:rPr>
          <w:szCs w:val="24"/>
        </w:rPr>
      </w:pPr>
      <w:r>
        <w:rPr>
          <w:szCs w:val="24"/>
        </w:rPr>
        <w:t>4.How does age influence delinquency cases?</w:t>
      </w:r>
    </w:p>
    <w:p>
      <w:pPr>
        <w:pStyle w:val="style179"/>
        <w:spacing w:after="0" w:lineRule="auto" w:line="480"/>
        <w:ind w:left="0"/>
        <w:jc w:val="left"/>
        <w:rPr>
          <w:szCs w:val="24"/>
        </w:rPr>
      </w:pPr>
      <w:r>
        <w:rPr>
          <w:szCs w:val="24"/>
        </w:rPr>
        <w:t>5.Do you think that there have been any changes in juvenile involvement in status offenses?</w:t>
      </w:r>
    </w:p>
    <w:p>
      <w:pPr>
        <w:pStyle w:val="style179"/>
        <w:spacing w:after="0" w:lineRule="auto" w:line="480"/>
        <w:ind w:left="0"/>
        <w:jc w:val="left"/>
        <w:rPr>
          <w:szCs w:val="24"/>
        </w:rPr>
      </w:pPr>
    </w:p>
    <w:p>
      <w:pPr>
        <w:pStyle w:val="style179"/>
        <w:spacing w:after="0" w:lineRule="auto" w:line="480"/>
        <w:ind w:left="0"/>
        <w:jc w:val="left"/>
        <w:rPr>
          <w:szCs w:val="24"/>
        </w:rPr>
      </w:pPr>
    </w:p>
    <w:p>
      <w:pPr>
        <w:pStyle w:val="style179"/>
        <w:spacing w:after="0" w:lineRule="auto" w:line="480"/>
        <w:ind w:left="0"/>
        <w:jc w:val="left"/>
        <w:rPr>
          <w:szCs w:val="24"/>
        </w:rPr>
      </w:pPr>
    </w:p>
    <w:p>
      <w:pPr>
        <w:pStyle w:val="style179"/>
        <w:spacing w:after="0" w:lineRule="auto" w:line="480"/>
        <w:ind w:left="0"/>
        <w:jc w:val="left"/>
        <w:rPr>
          <w:szCs w:val="24"/>
        </w:rPr>
      </w:pPr>
    </w:p>
    <w:p>
      <w:pPr>
        <w:pStyle w:val="style179"/>
        <w:spacing w:after="0" w:lineRule="auto" w:line="480"/>
        <w:ind w:left="0"/>
        <w:jc w:val="left"/>
        <w:rPr>
          <w:szCs w:val="24"/>
        </w:rPr>
      </w:pPr>
    </w:p>
    <w:p>
      <w:pPr>
        <w:pStyle w:val="style179"/>
        <w:spacing w:after="0" w:lineRule="auto" w:line="480"/>
        <w:ind w:left="0"/>
        <w:jc w:val="left"/>
        <w:rPr>
          <w:szCs w:val="24"/>
        </w:rPr>
      </w:pPr>
    </w:p>
    <w:p>
      <w:pPr>
        <w:pStyle w:val="style179"/>
        <w:spacing w:after="0" w:lineRule="auto" w:line="480"/>
        <w:ind w:left="0"/>
        <w:jc w:val="left"/>
        <w:rPr>
          <w:szCs w:val="24"/>
        </w:rPr>
      </w:pPr>
    </w:p>
    <w:p>
      <w:pPr>
        <w:pStyle w:val="style179"/>
        <w:spacing w:after="0" w:lineRule="auto" w:line="480"/>
        <w:ind w:left="0"/>
        <w:jc w:val="left"/>
        <w:rPr>
          <w:szCs w:val="24"/>
        </w:rPr>
      </w:pPr>
    </w:p>
    <w:p>
      <w:pPr>
        <w:pStyle w:val="style179"/>
        <w:spacing w:after="0" w:lineRule="auto" w:line="480"/>
        <w:ind w:left="0"/>
        <w:jc w:val="center"/>
        <w:rPr>
          <w:b/>
          <w:szCs w:val="24"/>
        </w:rPr>
      </w:pPr>
      <w:r>
        <w:rPr>
          <w:b/>
          <w:szCs w:val="24"/>
        </w:rPr>
        <w:t>References</w:t>
      </w:r>
    </w:p>
    <w:p>
      <w:pPr>
        <w:pStyle w:val="style0"/>
        <w:spacing w:after="0" w:lineRule="auto" w:line="480"/>
        <w:ind w:left="720" w:hanging="720"/>
        <w:jc w:val="left"/>
        <w:rPr>
          <w:color w:val="000000"/>
          <w:szCs w:val="24"/>
          <w:shd w:val="clear" w:color="auto" w:fill="ffffff"/>
        </w:rPr>
      </w:pPr>
      <w:r>
        <w:rPr>
          <w:color w:val="000000"/>
          <w:szCs w:val="24"/>
          <w:shd w:val="clear" w:color="auto" w:fill="ffffff"/>
        </w:rPr>
        <w:t>"SAMHSA Releases</w:t>
      </w:r>
      <w:r>
        <w:rPr>
          <w:color w:val="000000"/>
          <w:szCs w:val="24"/>
          <w:shd w:val="clear" w:color="auto" w:fill="ffffff"/>
        </w:rPr>
        <w:t xml:space="preserve"> </w:t>
      </w:r>
      <w:r>
        <w:rPr>
          <w:color w:val="000000"/>
          <w:szCs w:val="24"/>
          <w:shd w:val="clear" w:color="auto" w:fill="ffffff"/>
        </w:rPr>
        <w:t>behavioral Health, United States, 2012". 2013.</w:t>
      </w:r>
      <w:r>
        <w:rPr>
          <w:rStyle w:val="style4097"/>
          <w:color w:val="000000"/>
          <w:szCs w:val="24"/>
          <w:shd w:val="clear" w:color="auto" w:fill="ffffff"/>
        </w:rPr>
        <w:t> </w:t>
      </w:r>
      <w:r>
        <w:rPr>
          <w:i/>
          <w:iCs/>
          <w:color w:val="000000"/>
          <w:szCs w:val="24"/>
          <w:shd w:val="clear" w:color="auto" w:fill="ffffff"/>
        </w:rPr>
        <w:t>Psychiatric Services</w:t>
      </w:r>
      <w:r>
        <w:rPr>
          <w:rStyle w:val="style4097"/>
          <w:color w:val="000000"/>
          <w:szCs w:val="24"/>
          <w:shd w:val="clear" w:color="auto" w:fill="ffffff"/>
        </w:rPr>
        <w:t> </w:t>
      </w:r>
      <w:r>
        <w:rPr>
          <w:color w:val="000000"/>
          <w:szCs w:val="24"/>
          <w:shd w:val="clear" w:color="auto" w:fill="ffffff"/>
        </w:rPr>
        <w:t>64 (12): 1281-1281. doi: 10.1176/appi.ps.6412news1.</w:t>
      </w:r>
    </w:p>
    <w:p>
      <w:pPr>
        <w:pStyle w:val="style0"/>
        <w:spacing w:after="0" w:lineRule="auto" w:line="480"/>
        <w:ind w:left="720" w:hanging="720"/>
        <w:jc w:val="left"/>
        <w:rPr>
          <w:color w:val="000000"/>
          <w:szCs w:val="24"/>
          <w:shd w:val="clear" w:color="auto" w:fill="ffffff"/>
        </w:rPr>
      </w:pPr>
      <w:r>
        <w:rPr>
          <w:color w:val="000000"/>
          <w:szCs w:val="24"/>
          <w:shd w:val="clear" w:color="auto" w:fill="ffffff"/>
        </w:rPr>
        <w:t>Baier, Colin J., And Bradley R. E. Wright</w:t>
      </w:r>
      <w:r>
        <w:rPr>
          <w:color w:val="000000"/>
          <w:szCs w:val="24"/>
          <w:shd w:val="clear" w:color="auto" w:fill="ffffff"/>
        </w:rPr>
        <w:t xml:space="preserve">. 2001. "“If You Love Me, Keep My Commandments”: A Meta-Analysis of the Effect of Religion </w:t>
      </w:r>
      <w:r>
        <w:rPr>
          <w:color w:val="000000"/>
          <w:szCs w:val="24"/>
          <w:shd w:val="clear" w:color="auto" w:fill="ffffff"/>
        </w:rPr>
        <w:t>On</w:t>
      </w:r>
      <w:r>
        <w:rPr>
          <w:color w:val="000000"/>
          <w:szCs w:val="24"/>
          <w:shd w:val="clear" w:color="auto" w:fill="ffffff"/>
        </w:rPr>
        <w:t xml:space="preserve"> Crime".</w:t>
      </w:r>
      <w:r>
        <w:rPr>
          <w:rStyle w:val="style4097"/>
          <w:color w:val="000000"/>
          <w:szCs w:val="24"/>
          <w:shd w:val="clear" w:color="auto" w:fill="ffffff"/>
        </w:rPr>
        <w:t> </w:t>
      </w:r>
      <w:r>
        <w:rPr>
          <w:i/>
          <w:iCs/>
          <w:color w:val="000000"/>
          <w:szCs w:val="24"/>
          <w:shd w:val="clear" w:color="auto" w:fill="ffffff"/>
        </w:rPr>
        <w:t>Journal of Research in Crime and Delinquency</w:t>
      </w:r>
      <w:r>
        <w:rPr>
          <w:rStyle w:val="style4097"/>
          <w:color w:val="000000"/>
          <w:szCs w:val="24"/>
          <w:shd w:val="clear" w:color="auto" w:fill="ffffff"/>
        </w:rPr>
        <w:t> </w:t>
      </w:r>
      <w:r>
        <w:rPr>
          <w:color w:val="000000"/>
          <w:szCs w:val="24"/>
          <w:shd w:val="clear" w:color="auto" w:fill="ffffff"/>
        </w:rPr>
        <w:t>38 (1): 3-21. doi:10.1177/0022427801038001001.</w:t>
      </w:r>
    </w:p>
    <w:p>
      <w:pPr>
        <w:pStyle w:val="style0"/>
        <w:spacing w:after="0" w:lineRule="auto" w:line="480"/>
        <w:ind w:left="720" w:hanging="720"/>
        <w:jc w:val="left"/>
        <w:rPr>
          <w:color w:val="000000"/>
          <w:szCs w:val="24"/>
          <w:shd w:val="clear" w:color="auto" w:fill="ffffff"/>
        </w:rPr>
      </w:pPr>
      <w:r>
        <w:rPr>
          <w:color w:val="000000"/>
          <w:szCs w:val="24"/>
          <w:shd w:val="clear" w:color="auto" w:fill="ffffff"/>
        </w:rPr>
        <w:t>Jang, Sung Joon. 2013. "Religion and Crime".</w:t>
      </w:r>
      <w:r>
        <w:rPr>
          <w:rStyle w:val="style4097"/>
          <w:color w:val="000000"/>
          <w:szCs w:val="24"/>
          <w:shd w:val="clear" w:color="auto" w:fill="ffffff"/>
        </w:rPr>
        <w:t> </w:t>
      </w:r>
      <w:r>
        <w:rPr>
          <w:i/>
          <w:iCs/>
          <w:color w:val="000000"/>
          <w:szCs w:val="24"/>
          <w:shd w:val="clear" w:color="auto" w:fill="ffffff"/>
        </w:rPr>
        <w:t>Criminology</w:t>
      </w:r>
      <w:r>
        <w:rPr>
          <w:color w:val="000000"/>
          <w:szCs w:val="24"/>
          <w:shd w:val="clear" w:color="auto" w:fill="ffffff"/>
        </w:rPr>
        <w:t>. doi:10.1093/obo/9780195396607-0177.</w:t>
      </w:r>
    </w:p>
    <w:p>
      <w:pPr>
        <w:pStyle w:val="style0"/>
        <w:spacing w:after="0" w:lineRule="auto" w:line="480"/>
        <w:ind w:left="720" w:hanging="720"/>
        <w:jc w:val="left"/>
        <w:rPr>
          <w:color w:val="000000"/>
          <w:szCs w:val="24"/>
          <w:shd w:val="clear" w:color="auto" w:fill="ffffff"/>
        </w:rPr>
      </w:pPr>
      <w:r>
        <w:rPr>
          <w:color w:val="000000"/>
          <w:szCs w:val="24"/>
          <w:shd w:val="clear" w:color="auto" w:fill="ffffff"/>
        </w:rPr>
        <w:t xml:space="preserve">Johnson, Byron R., Spencer De Li, David B. Larson, And Michael </w:t>
      </w:r>
      <w:r>
        <w:rPr>
          <w:color w:val="000000"/>
          <w:szCs w:val="24"/>
          <w:shd w:val="clear" w:color="auto" w:fill="ffffff"/>
        </w:rPr>
        <w:t>Mccullough</w:t>
      </w:r>
      <w:r>
        <w:rPr>
          <w:color w:val="000000"/>
          <w:szCs w:val="24"/>
          <w:shd w:val="clear" w:color="auto" w:fill="ffffff"/>
        </w:rPr>
        <w:t xml:space="preserve">. </w:t>
      </w:r>
      <w:r>
        <w:rPr>
          <w:color w:val="000000"/>
          <w:szCs w:val="24"/>
          <w:shd w:val="clear" w:color="auto" w:fill="ffffff"/>
        </w:rPr>
        <w:t>2000. "A Systematic Review of the Religiosity and Delinquency Literature".</w:t>
      </w:r>
      <w:r>
        <w:rPr>
          <w:rStyle w:val="style4097"/>
          <w:color w:val="000000"/>
          <w:szCs w:val="24"/>
          <w:shd w:val="clear" w:color="auto" w:fill="ffffff"/>
        </w:rPr>
        <w:t> </w:t>
      </w:r>
      <w:r>
        <w:rPr>
          <w:i/>
          <w:iCs/>
          <w:color w:val="000000"/>
          <w:szCs w:val="24"/>
          <w:shd w:val="clear" w:color="auto" w:fill="ffffff"/>
        </w:rPr>
        <w:t>Journal of Contemporary Criminal Justice</w:t>
      </w:r>
      <w:r>
        <w:rPr>
          <w:rStyle w:val="style4097"/>
          <w:color w:val="000000"/>
          <w:szCs w:val="24"/>
          <w:shd w:val="clear" w:color="auto" w:fill="ffffff"/>
        </w:rPr>
        <w:t> </w:t>
      </w:r>
      <w:r>
        <w:rPr>
          <w:color w:val="000000"/>
          <w:szCs w:val="24"/>
          <w:shd w:val="clear" w:color="auto" w:fill="ffffff"/>
        </w:rPr>
        <w:t>16 (1): 32-52. doi:10.1177/1043986200016001003.</w:t>
      </w:r>
    </w:p>
    <w:p>
      <w:pPr>
        <w:pStyle w:val="style0"/>
        <w:spacing w:after="0" w:lineRule="auto" w:line="480"/>
        <w:ind w:left="720" w:hanging="720"/>
        <w:jc w:val="left"/>
        <w:rPr>
          <w:color w:val="000000"/>
          <w:szCs w:val="24"/>
          <w:shd w:val="clear" w:color="auto" w:fill="ffffff"/>
        </w:rPr>
      </w:pPr>
      <w:r>
        <w:rPr>
          <w:color w:val="000000"/>
          <w:szCs w:val="24"/>
          <w:shd w:val="clear" w:color="auto" w:fill="ffffff"/>
        </w:rPr>
        <w:t>Koenig, Harold, Michael McCullough, and David Larson. 2001. "Handbook of Religion and Health". doi:10.1093/</w:t>
      </w:r>
      <w:r>
        <w:rPr>
          <w:color w:val="000000"/>
          <w:szCs w:val="24"/>
          <w:shd w:val="clear" w:color="auto" w:fill="ffffff"/>
        </w:rPr>
        <w:t>acprof:oso</w:t>
      </w:r>
      <w:r>
        <w:rPr>
          <w:color w:val="000000"/>
          <w:szCs w:val="24"/>
          <w:shd w:val="clear" w:color="auto" w:fill="ffffff"/>
        </w:rPr>
        <w:t>/9780195118667.001.0001.</w:t>
      </w:r>
    </w:p>
    <w:p>
      <w:pPr>
        <w:pStyle w:val="style0"/>
        <w:spacing w:after="0" w:lineRule="auto" w:line="480"/>
        <w:ind w:left="720" w:hanging="720"/>
        <w:jc w:val="left"/>
        <w:rPr>
          <w:color w:val="000000"/>
          <w:szCs w:val="24"/>
          <w:shd w:val="clear" w:color="auto" w:fill="ffffff"/>
        </w:rPr>
      </w:pPr>
      <w:r>
        <w:rPr>
          <w:color w:val="000000"/>
          <w:szCs w:val="24"/>
          <w:shd w:val="clear" w:color="auto" w:fill="ffffff"/>
        </w:rPr>
        <w:t xml:space="preserve">Longshore, Douglas, Eunice Chang, and Nena Messina. 2005. "Self-Control and Social Bonds: A Combined Control Perspective </w:t>
      </w:r>
      <w:r>
        <w:rPr>
          <w:color w:val="000000"/>
          <w:szCs w:val="24"/>
          <w:shd w:val="clear" w:color="auto" w:fill="ffffff"/>
        </w:rPr>
        <w:t>On</w:t>
      </w:r>
      <w:r>
        <w:rPr>
          <w:color w:val="000000"/>
          <w:szCs w:val="24"/>
          <w:shd w:val="clear" w:color="auto" w:fill="ffffff"/>
        </w:rPr>
        <w:t xml:space="preserve"> Juvenile Offending".</w:t>
      </w:r>
      <w:r>
        <w:rPr>
          <w:rStyle w:val="style4097"/>
          <w:color w:val="000000"/>
          <w:szCs w:val="24"/>
          <w:shd w:val="clear" w:color="auto" w:fill="ffffff"/>
        </w:rPr>
        <w:t> </w:t>
      </w:r>
      <w:r>
        <w:rPr>
          <w:i/>
          <w:iCs/>
          <w:color w:val="000000"/>
          <w:szCs w:val="24"/>
          <w:shd w:val="clear" w:color="auto" w:fill="ffffff"/>
        </w:rPr>
        <w:t>Journal of Quantitative Criminology</w:t>
      </w:r>
      <w:r>
        <w:rPr>
          <w:rStyle w:val="style4097"/>
          <w:color w:val="000000"/>
          <w:szCs w:val="24"/>
          <w:shd w:val="clear" w:color="auto" w:fill="ffffff"/>
        </w:rPr>
        <w:t> </w:t>
      </w:r>
      <w:r>
        <w:rPr>
          <w:color w:val="000000"/>
          <w:szCs w:val="24"/>
          <w:shd w:val="clear" w:color="auto" w:fill="ffffff"/>
        </w:rPr>
        <w:t>21 (4): 419-437. doi:10.1007/s10940-005-7359-2.</w:t>
      </w:r>
    </w:p>
    <w:p>
      <w:pPr>
        <w:pStyle w:val="style0"/>
        <w:spacing w:after="0" w:lineRule="auto" w:line="480"/>
        <w:ind w:left="720" w:hanging="720"/>
        <w:jc w:val="left"/>
        <w:rPr>
          <w:color w:val="000000"/>
          <w:szCs w:val="24"/>
          <w:shd w:val="clear" w:color="auto" w:fill="ffffff"/>
        </w:rPr>
      </w:pPr>
      <w:r>
        <w:rPr>
          <w:color w:val="000000"/>
          <w:szCs w:val="24"/>
          <w:shd w:val="clear" w:color="auto" w:fill="ffffff"/>
        </w:rPr>
        <w:t xml:space="preserve">Salvatore, Christopher, and Gabriel Rubin. 2018. "The Influence of Religion </w:t>
      </w:r>
      <w:r>
        <w:rPr>
          <w:color w:val="000000"/>
          <w:szCs w:val="24"/>
          <w:shd w:val="clear" w:color="auto" w:fill="ffffff"/>
        </w:rPr>
        <w:t>On</w:t>
      </w:r>
      <w:r>
        <w:rPr>
          <w:color w:val="000000"/>
          <w:szCs w:val="24"/>
          <w:shd w:val="clear" w:color="auto" w:fill="ffffff"/>
        </w:rPr>
        <w:t xml:space="preserve"> the Criminal Behavior of Emerging Adults".</w:t>
      </w:r>
      <w:r>
        <w:rPr>
          <w:rStyle w:val="style4097"/>
          <w:color w:val="000000"/>
          <w:szCs w:val="24"/>
          <w:shd w:val="clear" w:color="auto" w:fill="ffffff"/>
        </w:rPr>
        <w:t> </w:t>
      </w:r>
      <w:r>
        <w:rPr>
          <w:i/>
          <w:iCs/>
          <w:color w:val="000000"/>
          <w:szCs w:val="24"/>
          <w:shd w:val="clear" w:color="auto" w:fill="ffffff"/>
        </w:rPr>
        <w:t>Religions</w:t>
      </w:r>
      <w:r>
        <w:rPr>
          <w:rStyle w:val="style4097"/>
          <w:color w:val="000000"/>
          <w:szCs w:val="24"/>
          <w:shd w:val="clear" w:color="auto" w:fill="ffffff"/>
        </w:rPr>
        <w:t> </w:t>
      </w:r>
      <w:r>
        <w:rPr>
          <w:color w:val="000000"/>
          <w:szCs w:val="24"/>
          <w:shd w:val="clear" w:color="auto" w:fill="ffffff"/>
        </w:rPr>
        <w:t>9 (5): 141. doi:10.3390/rel9050141.</w:t>
      </w:r>
    </w:p>
    <w:p>
      <w:pPr>
        <w:pStyle w:val="style0"/>
        <w:spacing w:after="0" w:lineRule="auto" w:line="480"/>
        <w:ind w:left="720" w:hanging="720"/>
        <w:jc w:val="left"/>
        <w:rPr>
          <w:szCs w:val="24"/>
        </w:rPr>
      </w:pPr>
      <w:r>
        <w:rPr>
          <w:szCs w:val="24"/>
        </w:rPr>
        <w:t xml:space="preserve">Snyder, Howard N., and Melissa </w:t>
      </w:r>
      <w:r>
        <w:rPr>
          <w:szCs w:val="24"/>
        </w:rPr>
        <w:t>Sickmund</w:t>
      </w:r>
      <w:r>
        <w:rPr>
          <w:szCs w:val="24"/>
        </w:rPr>
        <w:t xml:space="preserve">. 2006. </w:t>
      </w:r>
      <w:r>
        <w:rPr>
          <w:i/>
          <w:iCs/>
          <w:szCs w:val="24"/>
        </w:rPr>
        <w:t xml:space="preserve">Juvenile Offenders and Victims: 2006 National Report. </w:t>
      </w:r>
      <w:r>
        <w:rPr>
          <w:szCs w:val="24"/>
        </w:rPr>
        <w:t>Washington, D.C.: U.S. Department of Justice, Office of Justice Programs, Office of Juvenile Justice and Delinquency Prevention.</w:t>
      </w:r>
    </w:p>
    <w:p>
      <w:pPr>
        <w:pStyle w:val="style179"/>
        <w:spacing w:after="0" w:lineRule="auto" w:line="480"/>
        <w:ind w:left="0"/>
        <w:jc w:val="left"/>
        <w:rPr>
          <w:b/>
          <w:szCs w:val="24"/>
        </w:rPr>
      </w:pPr>
    </w:p>
    <w:p>
      <w:pPr>
        <w:pStyle w:val="style0"/>
        <w:spacing w:after="0" w:lineRule="auto" w:line="480"/>
        <w:jc w:val="left"/>
        <w:rPr>
          <w:szCs w:val="24"/>
        </w:rPr>
      </w:pPr>
    </w:p>
    <w:p>
      <w:pPr>
        <w:pStyle w:val="style0"/>
        <w:spacing w:after="0" w:lineRule="auto" w:line="480"/>
        <w:jc w:val="left"/>
        <w:rPr>
          <w:b/>
          <w:szCs w:val="24"/>
        </w:rPr>
      </w:pPr>
    </w:p>
    <w:p>
      <w:pPr>
        <w:pStyle w:val="style0"/>
        <w:spacing w:after="0" w:lineRule="auto" w:line="480"/>
        <w:jc w:val="left"/>
        <w:rPr>
          <w:b/>
          <w:szCs w:val="24"/>
        </w:rPr>
      </w:pPr>
    </w:p>
    <w:p>
      <w:pPr>
        <w:pStyle w:val="style0"/>
        <w:spacing w:after="0" w:lineRule="auto" w:line="480"/>
        <w:jc w:val="left"/>
        <w:rPr>
          <w:b/>
          <w:szCs w:val="24"/>
        </w:rPr>
      </w:pPr>
    </w:p>
    <w:p>
      <w:pPr>
        <w:pStyle w:val="style0"/>
        <w:spacing w:after="0" w:lineRule="auto" w:line="480"/>
        <w:jc w:val="left"/>
        <w:rPr>
          <w:b/>
          <w:szCs w:val="24"/>
        </w:rPr>
      </w:pPr>
    </w:p>
    <w:sectPr>
      <w:headerReference w:type="default" r:id="rId7"/>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14</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F0422AC"/>
    <w:lvl w:ilvl="0" w:tplc="AD342DB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00000001"/>
    <w:multiLevelType w:val="hybridMultilevel"/>
    <w:tmpl w:val="08AADCF6"/>
    <w:lvl w:ilvl="0" w:tplc="594E95D8">
      <w:start w:val="1"/>
      <w:numFmt w:val="lowerLetter"/>
      <w:lvlText w:val="%1)"/>
      <w:lvlJc w:val="left"/>
      <w:pPr>
        <w:ind w:left="1064" w:hanging="360"/>
      </w:pPr>
      <w:rPr>
        <w:rFonts w:hint="default"/>
      </w:rPr>
    </w:lvl>
    <w:lvl w:ilvl="1" w:tplc="04090019" w:tentative="1">
      <w:start w:val="1"/>
      <w:numFmt w:val="lowerLetter"/>
      <w:lvlText w:val="%2."/>
      <w:lvlJc w:val="left"/>
      <w:pPr>
        <w:ind w:left="1784" w:hanging="360"/>
      </w:pPr>
    </w:lvl>
    <w:lvl w:ilvl="2" w:tplc="0409001B" w:tentative="1">
      <w:start w:val="1"/>
      <w:numFmt w:val="lowerRoman"/>
      <w:lvlText w:val="%3."/>
      <w:lvlJc w:val="right"/>
      <w:pPr>
        <w:ind w:left="2504" w:hanging="180"/>
      </w:pPr>
    </w:lvl>
    <w:lvl w:ilvl="3" w:tplc="0409000F" w:tentative="1">
      <w:start w:val="1"/>
      <w:numFmt w:val="decimal"/>
      <w:lvlText w:val="%4."/>
      <w:lvlJc w:val="left"/>
      <w:pPr>
        <w:ind w:left="3224" w:hanging="360"/>
      </w:pPr>
    </w:lvl>
    <w:lvl w:ilvl="4" w:tplc="04090019" w:tentative="1">
      <w:start w:val="1"/>
      <w:numFmt w:val="lowerLetter"/>
      <w:lvlText w:val="%5."/>
      <w:lvlJc w:val="left"/>
      <w:pPr>
        <w:ind w:left="3944" w:hanging="360"/>
      </w:pPr>
    </w:lvl>
    <w:lvl w:ilvl="5" w:tplc="0409001B" w:tentative="1">
      <w:start w:val="1"/>
      <w:numFmt w:val="lowerRoman"/>
      <w:lvlText w:val="%6."/>
      <w:lvlJc w:val="right"/>
      <w:pPr>
        <w:ind w:left="4664" w:hanging="180"/>
      </w:pPr>
    </w:lvl>
    <w:lvl w:ilvl="6" w:tplc="0409000F" w:tentative="1">
      <w:start w:val="1"/>
      <w:numFmt w:val="decimal"/>
      <w:lvlText w:val="%7."/>
      <w:lvlJc w:val="left"/>
      <w:pPr>
        <w:ind w:left="5384" w:hanging="360"/>
      </w:pPr>
    </w:lvl>
    <w:lvl w:ilvl="7" w:tplc="04090019" w:tentative="1">
      <w:start w:val="1"/>
      <w:numFmt w:val="lowerLetter"/>
      <w:lvlText w:val="%8."/>
      <w:lvlJc w:val="left"/>
      <w:pPr>
        <w:ind w:left="6104" w:hanging="360"/>
      </w:pPr>
    </w:lvl>
    <w:lvl w:ilvl="8" w:tplc="0409001B" w:tentative="1">
      <w:start w:val="1"/>
      <w:numFmt w:val="lowerRoman"/>
      <w:lvlText w:val="%9."/>
      <w:lvlJc w:val="right"/>
      <w:pPr>
        <w:ind w:left="6824" w:hanging="180"/>
      </w:pPr>
    </w:lvl>
  </w:abstractNum>
  <w:abstractNum w:abstractNumId="2">
    <w:nsid w:val="00000002"/>
    <w:multiLevelType w:val="hybridMultilevel"/>
    <w:tmpl w:val="7C5AF84A"/>
    <w:lvl w:ilvl="0" w:tplc="3876638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00000003"/>
    <w:multiLevelType w:val="hybridMultilevel"/>
    <w:tmpl w:val="0B168BFE"/>
    <w:lvl w:ilvl="0" w:tplc="538234A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00000004"/>
    <w:multiLevelType w:val="hybridMultilevel"/>
    <w:tmpl w:val="A8787318"/>
    <w:lvl w:ilvl="0" w:tplc="531CC73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00000005"/>
    <w:multiLevelType w:val="hybridMultilevel"/>
    <w:tmpl w:val="833405BA"/>
    <w:lvl w:ilvl="0" w:tplc="255ED13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00000006"/>
    <w:multiLevelType w:val="hybridMultilevel"/>
    <w:tmpl w:val="D4B6EE44"/>
    <w:lvl w:ilvl="0" w:tplc="7E587E8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00000007"/>
    <w:multiLevelType w:val="hybridMultilevel"/>
    <w:tmpl w:val="3D728E78"/>
    <w:lvl w:ilvl="0" w:tplc="D128838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00000008"/>
    <w:multiLevelType w:val="hybridMultilevel"/>
    <w:tmpl w:val="89CE15F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cs="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cs="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cs="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nsid w:val="00000009"/>
    <w:multiLevelType w:val="hybridMultilevel"/>
    <w:tmpl w:val="E88ABCC0"/>
    <w:lvl w:ilvl="0" w:tplc="6D62CC4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0000000A"/>
    <w:multiLevelType w:val="hybridMultilevel"/>
    <w:tmpl w:val="BFEEA0D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cs="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cs="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cs="Courier New" w:hAnsi="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5"/>
  </w:num>
  <w:num w:numId="2">
    <w:abstractNumId w:val="7"/>
  </w:num>
  <w:num w:numId="3">
    <w:abstractNumId w:val="4"/>
  </w:num>
  <w:num w:numId="4">
    <w:abstractNumId w:val="9"/>
  </w:num>
  <w:num w:numId="5">
    <w:abstractNumId w:val="3"/>
  </w:num>
  <w:num w:numId="6">
    <w:abstractNumId w:val="1"/>
  </w:num>
  <w:num w:numId="7">
    <w:abstractNumId w:val="2"/>
  </w:num>
  <w:num w:numId="8">
    <w:abstractNumId w:val="8"/>
  </w:num>
  <w:num w:numId="9">
    <w:abstractNumId w:val="0"/>
  </w:num>
  <w:num w:numId="10">
    <w:abstractNumId w:val="6"/>
  </w:num>
  <w:num w:numId="11">
    <w:abstractNumId w:val="1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Calibri" w:hAnsi="Times New Roman"/>
        <w:sz w:val="24"/>
        <w:szCs w:val="22"/>
        <w:lang w:val="en-US" w:bidi="ar-SA" w:eastAsia="en-US"/>
      </w:rPr>
    </w:rPrDefault>
    <w:pPrDefault>
      <w:pPr>
        <w:spacing w:after="160" w:lineRule="auto" w:line="259"/>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customStyle="1" w:styleId="style4097">
    <w:name w:val="apple-converted-space"/>
    <w:basedOn w:val="style65"/>
    <w:next w:val="style4097"/>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05fd7543-ae89-449e-b8ee-c59a28cf8eb5"/>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c3c56558-223f-4f11-94a6-6df7a8af29c0"/>
    <w:basedOn w:val="style65"/>
    <w:next w:val="style4099"/>
    <w:link w:val="style32"/>
    <w:uiPriority w:val="99"/>
  </w:style>
  <w:style w:type="paragraph" w:styleId="style153">
    <w:name w:val="Balloon Text"/>
    <w:basedOn w:val="style0"/>
    <w:next w:val="style153"/>
    <w:link w:val="style4100"/>
    <w:uiPriority w:val="99"/>
    <w:pPr>
      <w:spacing w:after="0" w:lineRule="auto" w:line="240"/>
    </w:pPr>
    <w:rPr>
      <w:rFonts w:ascii="Segoe UI" w:cs="Segoe UI" w:hAnsi="Segoe UI"/>
      <w:sz w:val="18"/>
      <w:szCs w:val="18"/>
    </w:rPr>
  </w:style>
  <w:style w:type="character" w:customStyle="1" w:styleId="style4100">
    <w:name w:val="Balloon Text Char"/>
    <w:basedOn w:val="style65"/>
    <w:next w:val="style4100"/>
    <w:link w:val="style153"/>
    <w:uiPriority w:val="99"/>
    <w:rPr>
      <w:rFonts w:ascii="Segoe UI" w:cs="Segoe UI" w:hAnsi="Segoe UI"/>
      <w:sz w:val="18"/>
      <w:szCs w:val="18"/>
    </w:rPr>
  </w:style>
</w:styles>
</file>

<file path=word/_rels/document.xml.rels><?xml version="1.0" encoding="UTF-8"?>
<Relationships xmlns="http://schemas.openxmlformats.org/package/2006/relationships"><Relationship Id="rId2" Type="http://schemas.openxmlformats.org/officeDocument/2006/relationships/chart" Target="charts/chart1.xml"/><Relationship Id="rId5" Type="http://schemas.openxmlformats.org/officeDocument/2006/relationships/chart" Target="charts/chart4.xml"/><Relationship Id="rId10" Type="http://schemas.openxmlformats.org/officeDocument/2006/relationships/settings" Target="settings.xml"/><Relationship Id="rId12" Type="http://schemas.openxmlformats.org/officeDocument/2006/relationships/customXml" Target="../customXml/item1.xml"/><Relationship Id="rId8" Type="http://schemas.openxmlformats.org/officeDocument/2006/relationships/styles" Target="styles.xml"/><Relationship Id="rId4" Type="http://schemas.openxmlformats.org/officeDocument/2006/relationships/chart" Target="charts/chart3.xml"/><Relationship Id="rId3" Type="http://schemas.openxmlformats.org/officeDocument/2006/relationships/chart" Target="charts/chart2.xml"/><Relationship Id="rId9" Type="http://schemas.openxmlformats.org/officeDocument/2006/relationships/fontTable" Target="fontTable.xml"/><Relationship Id="rId6" Type="http://schemas.openxmlformats.org/officeDocument/2006/relationships/chart" Target="charts/chart5.xml"/><Relationship Id="rId11" Type="http://schemas.openxmlformats.org/officeDocument/2006/relationships/theme" Target="theme/theme1.xml"/><Relationship Id="rId1" Type="http://schemas.openxmlformats.org/officeDocument/2006/relationships/numbering" Target="numbering.xml"/><Relationship Id="rId7" Type="http://schemas.openxmlformats.org/officeDocument/2006/relationships/header" Target="header1.xml"/></Relationships>
</file>

<file path=word/charts/_rels/chart1.xml.rels><?xml version="1.0" encoding="UTF-8"?>
<Relationships xmlns="http://schemas.openxmlformats.org/package/2006/relationships"><Relationship Id="rId2" Type="http://schemas.microsoft.com/office/2011/relationships/chartStyle" Target="style2.xml"/><Relationship Id="rId3" Type="http://schemas.microsoft.com/office/2011/relationships/chartColorStyle" Target="colors2.xml"/><Relationship Id="rId1" Type="http://schemas.openxmlformats.org/officeDocument/2006/relationships/package" Target="../embeddings/Microsoft_Excel____2.xlsx"/><Relationship Id="rId4" Type="http://schemas.openxmlformats.org/officeDocument/2006/relationships/themeOverride" Target="../theme/themeOverride2.xml"/></Relationships>
</file>

<file path=word/charts/_rels/chart2.xml.rels><?xml version="1.0" encoding="UTF-8"?>
<Relationships xmlns="http://schemas.openxmlformats.org/package/2006/relationships"><Relationship Id="rId2" Type="http://schemas.microsoft.com/office/2011/relationships/chartStyle" Target="style5.xml"/><Relationship Id="rId3" Type="http://schemas.microsoft.com/office/2011/relationships/chartColorStyle" Target="colors5.xml"/><Relationship Id="rId1" Type="http://schemas.openxmlformats.org/officeDocument/2006/relationships/package" Target="../embeddings/Microsoft_Excel____5.xlsx"/></Relationships>
</file>

<file path=word/charts/_rels/chart3.xml.rels><?xml version="1.0" encoding="UTF-8"?>
<Relationships xmlns="http://schemas.openxmlformats.org/package/2006/relationships"><Relationship Id="rId2" Type="http://schemas.microsoft.com/office/2011/relationships/chartStyle" Target="style1.xml"/><Relationship Id="rId3" Type="http://schemas.microsoft.com/office/2011/relationships/chartColorStyle" Target="colors1.xml"/><Relationship Id="rId1" Type="http://schemas.openxmlformats.org/officeDocument/2006/relationships/package" Target="../embeddings/Microsoft_Excel____1.xlsx"/></Relationships>
</file>

<file path=word/charts/_rels/chart4.xml.rels><?xml version="1.0" encoding="UTF-8"?>
<Relationships xmlns="http://schemas.openxmlformats.org/package/2006/relationships"><Relationship Id="rId2" Type="http://schemas.microsoft.com/office/2011/relationships/chartStyle" Target="style4.xml"/><Relationship Id="rId3" Type="http://schemas.microsoft.com/office/2011/relationships/chartColorStyle" Target="colors4.xml"/><Relationship Id="rId1" Type="http://schemas.openxmlformats.org/officeDocument/2006/relationships/package" Target="../embeddings/Microsoft_Excel____4.xlsx"/></Relationships>
</file>

<file path=word/charts/_rels/chart5.xml.rels><?xml version="1.0" encoding="UTF-8"?>
<Relationships xmlns="http://schemas.openxmlformats.org/package/2006/relationships"><Relationship Id="rId2" Type="http://schemas.microsoft.com/office/2011/relationships/chartStyle" Target="style3.xml"/><Relationship Id="rId3" Type="http://schemas.microsoft.com/office/2011/relationships/chartColorStyle" Target="colors3.xml"/><Relationship Id="rId1" Type="http://schemas.openxmlformats.org/officeDocument/2006/relationships/package" Target="../embeddings/Microsoft_Excel____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Status Offenses (Arrests per 100,000)</a:t>
            </a:r>
          </a:p>
        </c:rich>
      </c:tx>
      <c:layout>
        <c:manualLayout>
          <c:xMode val="edge"/>
          <c:yMode val="edge"/>
          <c:x val="0.39861111111111114"/>
          <c:y val="0.023809523809523808"/>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Juvenile drug use </c:v>
                </c:pt>
              </c:strCache>
            </c:strRef>
          </c:tx>
          <c:spPr>
            <a:solidFill>
              <a:schemeClr val="accent1"/>
            </a:solidFill>
            <a:ln>
              <a:noFill/>
            </a:ln>
            <a:effectLst/>
          </c:spPr>
          <c:invertIfNegative val="0"/>
          <c:cat>
            <c:strRef>
              <c:f>Sheet1!$A$2:$A$6</c:f>
              <c:strCache>
                <c:ptCount val="5"/>
                <c:pt idx="0">
                  <c:v>1993-1997</c:v>
                </c:pt>
                <c:pt idx="1">
                  <c:v>1998-2002</c:v>
                </c:pt>
                <c:pt idx="2">
                  <c:v>2003-2007</c:v>
                </c:pt>
                <c:pt idx="3">
                  <c:v>2008-2012</c:v>
                </c:pt>
                <c:pt idx="4">
                  <c:v>2013-2017</c:v>
                </c:pt>
              </c:strCache>
            </c:strRef>
          </c:cat>
          <c:val>
            <c:numRef>
              <c:f>Sheet1!$B$2:$B$6</c:f>
              <c:numCache>
                <c:formatCode>General</c:formatCode>
                <c:ptCount val="5"/>
                <c:pt idx="0">
                  <c:v>7.0</c:v>
                </c:pt>
                <c:pt idx="1">
                  <c:v>6.0</c:v>
                </c:pt>
                <c:pt idx="2">
                  <c:v>5.8</c:v>
                </c:pt>
                <c:pt idx="3">
                  <c:v>4.5</c:v>
                </c:pt>
                <c:pt idx="4">
                  <c:v>3.0</c:v>
                </c:pt>
              </c:numCache>
            </c:numRef>
          </c:val>
        </c:ser>
        <c:ser>
          <c:idx val="1"/>
          <c:order val="1"/>
          <c:tx>
            <c:strRef>
              <c:f>Sheet1!$C$1</c:f>
              <c:strCache>
                <c:ptCount val="1"/>
                <c:pt idx="0">
                  <c:v>Underage drinking</c:v>
                </c:pt>
              </c:strCache>
            </c:strRef>
          </c:tx>
          <c:spPr>
            <a:solidFill>
              <a:schemeClr val="accent2"/>
            </a:solidFill>
            <a:ln>
              <a:noFill/>
            </a:ln>
            <a:effectLst/>
          </c:spPr>
          <c:invertIfNegative val="0"/>
          <c:cat>
            <c:strRef>
              <c:f>Sheet1!$A$2:$A$6</c:f>
              <c:strCache>
                <c:ptCount val="5"/>
                <c:pt idx="0">
                  <c:v>1993-1997</c:v>
                </c:pt>
                <c:pt idx="1">
                  <c:v>1998-2002</c:v>
                </c:pt>
                <c:pt idx="2">
                  <c:v>2003-2007</c:v>
                </c:pt>
                <c:pt idx="3">
                  <c:v>2008-2012</c:v>
                </c:pt>
                <c:pt idx="4">
                  <c:v>2013-2017</c:v>
                </c:pt>
              </c:strCache>
            </c:strRef>
          </c:cat>
          <c:val>
            <c:numRef>
              <c:f>Sheet1!$C$2:$C$6</c:f>
              <c:numCache>
                <c:formatCode>General</c:formatCode>
                <c:ptCount val="5"/>
                <c:pt idx="0">
                  <c:v>6.9</c:v>
                </c:pt>
                <c:pt idx="1">
                  <c:v>6.5</c:v>
                </c:pt>
                <c:pt idx="2">
                  <c:v>4.8</c:v>
                </c:pt>
                <c:pt idx="3">
                  <c:v>3.7</c:v>
                </c:pt>
                <c:pt idx="4">
                  <c:v>1.6</c:v>
                </c:pt>
              </c:numCache>
            </c:numRef>
          </c:val>
        </c:ser>
        <c:ser>
          <c:idx val="2"/>
          <c:order val="2"/>
          <c:tx>
            <c:strRef>
              <c:f>Sheet1!$D$1</c:f>
              <c:strCache>
                <c:ptCount val="1"/>
                <c:pt idx="0">
                  <c:v>Curfew violation </c:v>
                </c:pt>
              </c:strCache>
            </c:strRef>
          </c:tx>
          <c:spPr>
            <a:solidFill>
              <a:schemeClr val="accent3"/>
            </a:solidFill>
            <a:ln>
              <a:noFill/>
            </a:ln>
            <a:effectLst/>
          </c:spPr>
          <c:invertIfNegative val="0"/>
          <c:cat>
            <c:strRef>
              <c:f>Sheet1!$A$2:$A$6</c:f>
              <c:strCache>
                <c:ptCount val="5"/>
                <c:pt idx="0">
                  <c:v>1993-1997</c:v>
                </c:pt>
                <c:pt idx="1">
                  <c:v>1998-2002</c:v>
                </c:pt>
                <c:pt idx="2">
                  <c:v>2003-2007</c:v>
                </c:pt>
                <c:pt idx="3">
                  <c:v>2008-2012</c:v>
                </c:pt>
                <c:pt idx="4">
                  <c:v>2013-2017</c:v>
                </c:pt>
              </c:strCache>
            </c:strRef>
          </c:cat>
          <c:val>
            <c:numRef>
              <c:f>Sheet1!$D$2:$D$6</c:f>
              <c:numCache>
                <c:formatCode>General</c:formatCode>
                <c:ptCount val="5"/>
                <c:pt idx="0">
                  <c:v>5.3</c:v>
                </c:pt>
                <c:pt idx="1">
                  <c:v>4.6</c:v>
                </c:pt>
                <c:pt idx="2">
                  <c:v>4.1</c:v>
                </c:pt>
                <c:pt idx="3">
                  <c:v>3.1</c:v>
                </c:pt>
                <c:pt idx="4">
                  <c:v>1.3</c:v>
                </c:pt>
              </c:numCache>
            </c:numRef>
          </c:val>
        </c:ser>
        <c:ser>
          <c:idx val="3"/>
          <c:order val="3"/>
          <c:tx>
            <c:strRef>
              <c:f>Sheet1!$E$1</c:f>
              <c:strCache>
                <c:ptCount val="1"/>
                <c:pt idx="0">
                  <c:v>Running Away </c:v>
                </c:pt>
              </c:strCache>
            </c:strRef>
          </c:tx>
          <c:spPr>
            <a:solidFill>
              <a:schemeClr val="accent4"/>
            </a:solidFill>
            <a:ln>
              <a:noFill/>
            </a:ln>
            <a:effectLst/>
          </c:spPr>
          <c:invertIfNegative val="0"/>
          <c:cat>
            <c:strRef>
              <c:f>Sheet1!$A$2:$A$6</c:f>
              <c:strCache>
                <c:ptCount val="5"/>
                <c:pt idx="0">
                  <c:v>1993-1997</c:v>
                </c:pt>
                <c:pt idx="1">
                  <c:v>1998-2002</c:v>
                </c:pt>
                <c:pt idx="2">
                  <c:v>2003-2007</c:v>
                </c:pt>
                <c:pt idx="3">
                  <c:v>2008-2012</c:v>
                </c:pt>
                <c:pt idx="4">
                  <c:v>2013-2017</c:v>
                </c:pt>
              </c:strCache>
            </c:strRef>
          </c:cat>
          <c:val>
            <c:numRef>
              <c:f>Sheet1!$E$2:$E$6</c:f>
              <c:numCache>
                <c:formatCode>General</c:formatCode>
                <c:ptCount val="5"/>
                <c:pt idx="0">
                  <c:v>6.9</c:v>
                </c:pt>
                <c:pt idx="1">
                  <c:v>4.3</c:v>
                </c:pt>
                <c:pt idx="2">
                  <c:v>3.3</c:v>
                </c:pt>
                <c:pt idx="3">
                  <c:v>2.7</c:v>
                </c:pt>
              </c:numCache>
            </c:numRef>
          </c:val>
        </c:ser>
        <c:dLbls>
          <c:showLegendKey val="0"/>
          <c:showVal val="0"/>
          <c:showCatName val="0"/>
          <c:showSerName val="0"/>
          <c:showPercent val="0"/>
          <c:showBubbleSize val="0"/>
        </c:dLbls>
        <c:gapWidth val="219"/>
        <c:overlap val="-27"/>
        <c:axId val="1120827791"/>
        <c:axId val="1120829455"/>
      </c:barChart>
      <c:catAx>
        <c:axId val="1120827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0829455"/>
        <c:crosses val="autoZero"/>
        <c:auto val="1"/>
        <c:lblAlgn val="ctr"/>
        <c:lblOffset val="100"/>
        <c:noMultiLvlLbl val="0"/>
      </c:catAx>
      <c:valAx>
        <c:axId val="11208294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08277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Characteristics</a:t>
            </a:r>
            <a:r>
              <a:rPr lang="en-US" baseline="0"/>
              <a:t> by Race and Gender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white</c:v>
                </c:pt>
              </c:strCache>
            </c:strRef>
          </c:tx>
          <c:spPr>
            <a:solidFill>
              <a:schemeClr val="accent1"/>
            </a:solidFill>
            <a:ln>
              <a:noFill/>
            </a:ln>
            <a:effectLst/>
          </c:spPr>
          <c:invertIfNegative val="0"/>
          <c:cat>
            <c:strRef>
              <c:f>Sheet1!$A$2:$A$6</c:f>
              <c:strCache>
                <c:ptCount val="5"/>
                <c:pt idx="0">
                  <c:v>1993-1997</c:v>
                </c:pt>
                <c:pt idx="1">
                  <c:v>1998-2002</c:v>
                </c:pt>
                <c:pt idx="2">
                  <c:v>2003-2007</c:v>
                </c:pt>
                <c:pt idx="3">
                  <c:v>2008-2012</c:v>
                </c:pt>
                <c:pt idx="4">
                  <c:v>2013-2017</c:v>
                </c:pt>
              </c:strCache>
            </c:strRef>
          </c:cat>
          <c:val>
            <c:numRef>
              <c:f>Sheet1!$B$2:$B$6</c:f>
              <c:numCache>
                <c:formatCode>General</c:formatCode>
                <c:ptCount val="5"/>
                <c:pt idx="0">
                  <c:v>5.5</c:v>
                </c:pt>
                <c:pt idx="1">
                  <c:v>5.4</c:v>
                </c:pt>
                <c:pt idx="2">
                  <c:v>5.2</c:v>
                </c:pt>
                <c:pt idx="3">
                  <c:v>4.8</c:v>
                </c:pt>
                <c:pt idx="4">
                  <c:v>3.3</c:v>
                </c:pt>
              </c:numCache>
            </c:numRef>
          </c:val>
        </c:ser>
        <c:ser>
          <c:idx val="1"/>
          <c:order val="1"/>
          <c:tx>
            <c:strRef>
              <c:f>Sheet1!$C$1</c:f>
              <c:strCache>
                <c:ptCount val="1"/>
                <c:pt idx="0">
                  <c:v>minority</c:v>
                </c:pt>
              </c:strCache>
            </c:strRef>
          </c:tx>
          <c:spPr>
            <a:solidFill>
              <a:schemeClr val="accent2"/>
            </a:solidFill>
            <a:ln>
              <a:noFill/>
            </a:ln>
            <a:effectLst/>
          </c:spPr>
          <c:invertIfNegative val="0"/>
          <c:cat>
            <c:strRef>
              <c:f>Sheet1!$A$2:$A$6</c:f>
              <c:strCache>
                <c:ptCount val="5"/>
                <c:pt idx="0">
                  <c:v>1993-1997</c:v>
                </c:pt>
                <c:pt idx="1">
                  <c:v>1998-2002</c:v>
                </c:pt>
                <c:pt idx="2">
                  <c:v>2003-2007</c:v>
                </c:pt>
                <c:pt idx="3">
                  <c:v>2008-2012</c:v>
                </c:pt>
                <c:pt idx="4">
                  <c:v>2013-2017</c:v>
                </c:pt>
              </c:strCache>
            </c:strRef>
          </c:cat>
          <c:val>
            <c:numRef>
              <c:f>Sheet1!$C$2:$C$6</c:f>
              <c:numCache>
                <c:formatCode>General</c:formatCode>
                <c:ptCount val="5"/>
                <c:pt idx="0">
                  <c:v>11.8</c:v>
                </c:pt>
                <c:pt idx="1">
                  <c:v>8.8</c:v>
                </c:pt>
                <c:pt idx="2">
                  <c:v>7.2</c:v>
                </c:pt>
                <c:pt idx="3">
                  <c:v>5.8</c:v>
                </c:pt>
                <c:pt idx="4">
                  <c:v>3.6</c:v>
                </c:pt>
              </c:numCache>
            </c:numRef>
          </c:val>
        </c:ser>
        <c:ser>
          <c:idx val="2"/>
          <c:order val="2"/>
          <c:tx>
            <c:strRef>
              <c:f>Sheet1!$D$1</c:f>
              <c:strCache>
                <c:ptCount val="1"/>
                <c:pt idx="0">
                  <c:v>black</c:v>
                </c:pt>
              </c:strCache>
            </c:strRef>
          </c:tx>
          <c:spPr>
            <a:solidFill>
              <a:schemeClr val="accent3"/>
            </a:solidFill>
            <a:ln>
              <a:noFill/>
            </a:ln>
            <a:effectLst/>
          </c:spPr>
          <c:invertIfNegative val="0"/>
          <c:cat>
            <c:strRef>
              <c:f>Sheet1!$A$2:$A$6</c:f>
              <c:strCache>
                <c:ptCount val="5"/>
                <c:pt idx="0">
                  <c:v>1993-1997</c:v>
                </c:pt>
                <c:pt idx="1">
                  <c:v>1998-2002</c:v>
                </c:pt>
                <c:pt idx="2">
                  <c:v>2003-2007</c:v>
                </c:pt>
                <c:pt idx="3">
                  <c:v>2008-2012</c:v>
                </c:pt>
                <c:pt idx="4">
                  <c:v>2013-2017</c:v>
                </c:pt>
              </c:strCache>
            </c:strRef>
          </c:cat>
          <c:val>
            <c:numRef>
              <c:f>Sheet1!$D$2:$D$6</c:f>
              <c:numCache>
                <c:formatCode>General</c:formatCode>
                <c:ptCount val="5"/>
                <c:pt idx="0">
                  <c:v>13.3</c:v>
                </c:pt>
                <c:pt idx="1">
                  <c:v>11.2</c:v>
                </c:pt>
                <c:pt idx="2">
                  <c:v>9.7</c:v>
                </c:pt>
                <c:pt idx="3">
                  <c:v>7.4</c:v>
                </c:pt>
                <c:pt idx="4">
                  <c:v>4.3</c:v>
                </c:pt>
              </c:numCache>
            </c:numRef>
          </c:val>
        </c:ser>
        <c:dLbls>
          <c:showLegendKey val="0"/>
          <c:showVal val="0"/>
          <c:showCatName val="0"/>
          <c:showSerName val="0"/>
          <c:showPercent val="0"/>
          <c:showBubbleSize val="0"/>
        </c:dLbls>
        <c:gapWidth val="150"/>
        <c:axId val="314186543"/>
        <c:axId val="314179887"/>
      </c:barChart>
      <c:lineChart>
        <c:grouping val="standard"/>
        <c:varyColors val="0"/>
        <c:ser>
          <c:idx val="3"/>
          <c:order val="3"/>
          <c:tx>
            <c:strRef>
              <c:f>Sheet1!$E$1</c:f>
              <c:strCache>
                <c:ptCount val="1"/>
                <c:pt idx="0">
                  <c:v>male</c:v>
                </c:pt>
              </c:strCache>
            </c:strRef>
          </c:tx>
          <c:spPr>
            <a:ln w="28575" cap="rnd">
              <a:solidFill>
                <a:schemeClr val="accent4"/>
              </a:solidFill>
              <a:round/>
            </a:ln>
            <a:effectLst/>
          </c:spPr>
          <c:marker>
            <c:symbol val="none"/>
          </c:marker>
          <c:cat>
            <c:strRef>
              <c:f>Sheet1!$A$2:$A$6</c:f>
              <c:strCache>
                <c:ptCount val="5"/>
                <c:pt idx="0">
                  <c:v>1993-1997</c:v>
                </c:pt>
                <c:pt idx="1">
                  <c:v>1998-2002</c:v>
                </c:pt>
                <c:pt idx="2">
                  <c:v>2003-2007</c:v>
                </c:pt>
                <c:pt idx="3">
                  <c:v>2008-2012</c:v>
                </c:pt>
                <c:pt idx="4">
                  <c:v>2013-2017</c:v>
                </c:pt>
              </c:strCache>
            </c:strRef>
          </c:cat>
          <c:val>
            <c:numRef>
              <c:f>Sheet1!$E$2:$E$6</c:f>
              <c:numCache>
                <c:formatCode>General</c:formatCode>
                <c:ptCount val="5"/>
                <c:pt idx="0">
                  <c:v>11.1</c:v>
                </c:pt>
                <c:pt idx="1">
                  <c:v>9.5</c:v>
                </c:pt>
                <c:pt idx="2">
                  <c:v>9.2</c:v>
                </c:pt>
                <c:pt idx="3">
                  <c:v>8.1</c:v>
                </c:pt>
                <c:pt idx="4">
                  <c:v>4.8</c:v>
                </c:pt>
              </c:numCache>
            </c:numRef>
          </c:val>
          <c:smooth val="0"/>
        </c:ser>
        <c:ser>
          <c:idx val="4"/>
          <c:order val="4"/>
          <c:tx>
            <c:strRef>
              <c:f>Sheet1!$F$1</c:f>
              <c:strCache>
                <c:ptCount val="1"/>
                <c:pt idx="0">
                  <c:v>female</c:v>
                </c:pt>
              </c:strCache>
            </c:strRef>
          </c:tx>
          <c:spPr>
            <a:ln w="28575" cap="rnd">
              <a:solidFill>
                <a:schemeClr val="accent5"/>
              </a:solidFill>
              <a:round/>
            </a:ln>
            <a:effectLst/>
          </c:spPr>
          <c:marker>
            <c:symbol val="none"/>
          </c:marker>
          <c:cat>
            <c:strRef>
              <c:f>Sheet1!$A$2:$A$6</c:f>
              <c:strCache>
                <c:ptCount val="5"/>
                <c:pt idx="0">
                  <c:v>1993-1997</c:v>
                </c:pt>
                <c:pt idx="1">
                  <c:v>1998-2002</c:v>
                </c:pt>
                <c:pt idx="2">
                  <c:v>2003-2007</c:v>
                </c:pt>
                <c:pt idx="3">
                  <c:v>2008-2012</c:v>
                </c:pt>
                <c:pt idx="4">
                  <c:v>2013-2017</c:v>
                </c:pt>
              </c:strCache>
            </c:strRef>
          </c:cat>
          <c:val>
            <c:numRef>
              <c:f>Sheet1!$F$2:$F$6</c:f>
              <c:numCache>
                <c:formatCode>General</c:formatCode>
                <c:ptCount val="5"/>
                <c:pt idx="0">
                  <c:v>1.7</c:v>
                </c:pt>
                <c:pt idx="1">
                  <c:v>1.6</c:v>
                </c:pt>
                <c:pt idx="2">
                  <c:v>1.8</c:v>
                </c:pt>
                <c:pt idx="3">
                  <c:v>1.5</c:v>
                </c:pt>
                <c:pt idx="4">
                  <c:v>1.3</c:v>
                </c:pt>
              </c:numCache>
            </c:numRef>
          </c:val>
          <c:smooth val="0"/>
        </c:ser>
        <c:dLbls>
          <c:showLegendKey val="0"/>
          <c:showVal val="0"/>
          <c:showCatName val="0"/>
          <c:showSerName val="0"/>
          <c:showPercent val="0"/>
          <c:showBubbleSize val="0"/>
        </c:dLbls>
        <c:marker val="1"/>
        <c:smooth val="0"/>
        <c:axId val="314186543"/>
        <c:axId val="314179887"/>
      </c:lineChart>
      <c:catAx>
        <c:axId val="314186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4179887"/>
        <c:crosses val="autoZero"/>
        <c:auto val="1"/>
        <c:lblAlgn val="ctr"/>
        <c:lblOffset val="100"/>
        <c:noMultiLvlLbl val="0"/>
      </c:catAx>
      <c:valAx>
        <c:axId val="314179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41865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Changes</a:t>
            </a:r>
            <a:r>
              <a:rPr lang="en-US" baseline="0"/>
              <a:t> in Reliogiosity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Believe in God (%)</c:v>
                </c:pt>
              </c:strCache>
            </c:strRef>
          </c:tx>
          <c:spPr>
            <a:solidFill>
              <a:schemeClr val="accent1"/>
            </a:solidFill>
            <a:ln>
              <a:noFill/>
            </a:ln>
            <a:effectLst/>
          </c:spPr>
          <c:invertIfNegative val="0"/>
          <c:cat>
            <c:numRef>
              <c:f>Sheet1!$A$2:$A$5</c:f>
              <c:numCache>
                <c:formatCode>General</c:formatCode>
                <c:ptCount val="4"/>
                <c:pt idx="0">
                  <c:v>2010.0</c:v>
                </c:pt>
                <c:pt idx="1">
                  <c:v>2012.0</c:v>
                </c:pt>
                <c:pt idx="2">
                  <c:v>2014.0</c:v>
                </c:pt>
                <c:pt idx="3">
                  <c:v>2016.0</c:v>
                </c:pt>
              </c:numCache>
            </c:numRef>
          </c:cat>
          <c:val>
            <c:numRef>
              <c:f>Sheet1!$B$2:$B$5</c:f>
              <c:numCache>
                <c:formatCode>General</c:formatCode>
                <c:ptCount val="4"/>
                <c:pt idx="0">
                  <c:v>91.0</c:v>
                </c:pt>
                <c:pt idx="1">
                  <c:v>90.0</c:v>
                </c:pt>
                <c:pt idx="2">
                  <c:v>86.0</c:v>
                </c:pt>
                <c:pt idx="3">
                  <c:v>89.0</c:v>
                </c:pt>
              </c:numCache>
            </c:numRef>
          </c:val>
        </c:ser>
        <c:ser>
          <c:idx val="1"/>
          <c:order val="1"/>
          <c:tx>
            <c:strRef>
              <c:f>Sheet1!$C$1</c:f>
              <c:strCache>
                <c:ptCount val="1"/>
                <c:pt idx="0">
                  <c:v>Attends service every week (%)</c:v>
                </c:pt>
              </c:strCache>
            </c:strRef>
          </c:tx>
          <c:spPr>
            <a:solidFill>
              <a:schemeClr val="accent2"/>
            </a:solidFill>
            <a:ln>
              <a:noFill/>
            </a:ln>
            <a:effectLst/>
          </c:spPr>
          <c:invertIfNegative val="0"/>
          <c:cat>
            <c:numRef>
              <c:f>Sheet1!$A$2:$A$5</c:f>
              <c:numCache>
                <c:formatCode>General</c:formatCode>
                <c:ptCount val="4"/>
                <c:pt idx="0">
                  <c:v>2010.0</c:v>
                </c:pt>
                <c:pt idx="1">
                  <c:v>2012.0</c:v>
                </c:pt>
                <c:pt idx="2">
                  <c:v>2014.0</c:v>
                </c:pt>
                <c:pt idx="3">
                  <c:v>2016.0</c:v>
                </c:pt>
              </c:numCache>
            </c:numRef>
          </c:cat>
          <c:val>
            <c:numRef>
              <c:f>Sheet1!$C$2:$C$5</c:f>
              <c:numCache>
                <c:formatCode>General</c:formatCode>
                <c:ptCount val="4"/>
                <c:pt idx="0">
                  <c:v>28.0</c:v>
                </c:pt>
                <c:pt idx="1">
                  <c:v>27.0</c:v>
                </c:pt>
                <c:pt idx="2">
                  <c:v>27.0</c:v>
                </c:pt>
                <c:pt idx="3">
                  <c:v>25.0</c:v>
                </c:pt>
              </c:numCache>
            </c:numRef>
          </c:val>
        </c:ser>
        <c:ser>
          <c:idx val="2"/>
          <c:order val="2"/>
          <c:tx>
            <c:strRef>
              <c:f>Sheet1!$D$1</c:f>
              <c:strCache>
                <c:ptCount val="1"/>
                <c:pt idx="0">
                  <c:v>Column1</c:v>
                </c:pt>
              </c:strCache>
            </c:strRef>
          </c:tx>
          <c:spPr>
            <a:solidFill>
              <a:schemeClr val="accent3"/>
            </a:solidFill>
            <a:ln>
              <a:noFill/>
            </a:ln>
            <a:effectLst/>
          </c:spPr>
          <c:invertIfNegative val="0"/>
          <c:cat>
            <c:numRef>
              <c:f>Sheet1!$A$2:$A$5</c:f>
              <c:numCache>
                <c:formatCode>General</c:formatCode>
                <c:ptCount val="4"/>
                <c:pt idx="0">
                  <c:v>2010.0</c:v>
                </c:pt>
                <c:pt idx="1">
                  <c:v>2012.0</c:v>
                </c:pt>
                <c:pt idx="2">
                  <c:v>2014.0</c:v>
                </c:pt>
                <c:pt idx="3">
                  <c:v>2016.0</c:v>
                </c:pt>
              </c:numCache>
            </c:num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939541823"/>
        <c:axId val="1939543903"/>
      </c:barChart>
      <c:catAx>
        <c:axId val="1939541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9543903"/>
        <c:crosses val="autoZero"/>
        <c:auto val="1"/>
        <c:lblAlgn val="ctr"/>
        <c:lblOffset val="100"/>
        <c:noMultiLvlLbl val="0"/>
      </c:catAx>
      <c:valAx>
        <c:axId val="19395439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9541823"/>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Believes in heaven by Age (%)</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18-29</c:v>
                </c:pt>
                <c:pt idx="1">
                  <c:v>30-49</c:v>
                </c:pt>
                <c:pt idx="2">
                  <c:v>50-64</c:v>
                </c:pt>
                <c:pt idx="3">
                  <c:v>Above 65</c:v>
                </c:pt>
              </c:strCache>
            </c:strRef>
          </c:cat>
          <c:val>
            <c:numRef>
              <c:f>Sheet1!$B$2:$B$5</c:f>
              <c:numCache>
                <c:formatCode>General</c:formatCode>
                <c:ptCount val="4"/>
                <c:pt idx="0">
                  <c:v>21.0</c:v>
                </c:pt>
                <c:pt idx="1">
                  <c:v>34.0</c:v>
                </c:pt>
                <c:pt idx="2">
                  <c:v>27.0</c:v>
                </c:pt>
                <c:pt idx="3">
                  <c:v>18.0</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Believes in heaven by gender (%)</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tx>
                <c:rich>
                  <a:bodyPr/>
                  <a:lstStyle/>
                  <a:p>
                    <a:r>
                      <a:rPr lang="en-US"/>
                      <a:t>45%</a:t>
                    </a:r>
                  </a:p>
                </c:rich>
              </c:tx>
              <c:dLblPos val="ctr"/>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55%</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Male</c:v>
                </c:pt>
                <c:pt idx="1">
                  <c:v>Female</c:v>
                </c:pt>
              </c:strCache>
            </c:strRef>
          </c:cat>
          <c:val>
            <c:numRef>
              <c:f>Sheet1!$B$2:$B$5</c:f>
              <c:numCache>
                <c:formatCode>General</c:formatCode>
                <c:ptCount val="4"/>
                <c:pt idx="0">
                  <c:v>45.0</c:v>
                </c:pt>
                <c:pt idx="1">
                  <c:v>55.0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A4569-7601-4347-A51E-4102EB301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2627</Words>
  <Pages>14</Pages>
  <Characters>14479</Characters>
  <Application>WPS Office</Application>
  <DocSecurity>0</DocSecurity>
  <Paragraphs>141</Paragraphs>
  <ScaleCrop>false</ScaleCrop>
  <LinksUpToDate>false</LinksUpToDate>
  <CharactersWithSpaces>17010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2019-04-04T17:58:50Z</dcterms:created>
  <dc:creator>MURURI</dc:creator>
  <lastModifiedBy>Infinix X603</lastModifiedBy>
  <dcterms:modified xsi:type="dcterms:W3CDTF">2019-04-04T17:58:52Z</dcterms:modified>
  <revision>2</revision>
</coreProperties>
</file>

<file path=docProps/custom.xml><?xml version="1.0" encoding="utf-8"?>
<Properties xmlns="http://schemas.openxmlformats.org/officeDocument/2006/custom-properties" xmlns:vt="http://schemas.openxmlformats.org/officeDocument/2006/docPropsVTypes"/>
</file>